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2" w:type="dxa"/>
        <w:tblInd w:w="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2"/>
      </w:tblGrid>
      <w:tr w:rsidR="0034269A" w:rsidTr="00A82697">
        <w:trPr>
          <w:trHeight w:val="13351"/>
        </w:trPr>
        <w:tc>
          <w:tcPr>
            <w:tcW w:w="9832" w:type="dxa"/>
            <w:shd w:val="clear" w:color="auto" w:fill="auto"/>
          </w:tcPr>
          <w:p w:rsidR="0034269A" w:rsidRDefault="0034269A" w:rsidP="00584DAB">
            <w:pPr>
              <w:pStyle w:val="Heading7"/>
              <w:tabs>
                <w:tab w:val="clear" w:pos="5549"/>
                <w:tab w:val="left" w:pos="6379"/>
              </w:tabs>
              <w:ind w:left="0" w:firstLine="0"/>
            </w:pPr>
          </w:p>
          <w:p w:rsidR="0034269A" w:rsidRDefault="0034269A" w:rsidP="00584DAB">
            <w:pPr>
              <w:jc w:val="right"/>
            </w:pPr>
          </w:p>
          <w:p w:rsidR="0034269A" w:rsidRDefault="0034269A" w:rsidP="00584DAB"/>
          <w:p w:rsidR="0034269A" w:rsidRDefault="0034269A" w:rsidP="00584DAB">
            <w:r>
              <w:object w:dxaOrig="15688" w:dyaOrig="1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52.5pt" o:ole="">
                  <v:imagedata r:id="rId8" o:title=""/>
                </v:shape>
                <o:OLEObject Type="Embed" ProgID="MSPhotoEd.3" ShapeID="_x0000_i1025" DrawAspect="Content" ObjectID="_1652262480" r:id="rId9"/>
              </w:object>
            </w:r>
          </w:p>
          <w:p w:rsidR="0034269A" w:rsidRDefault="0034269A" w:rsidP="00584DAB">
            <w:pPr>
              <w:jc w:val="right"/>
            </w:pPr>
          </w:p>
          <w:p w:rsidR="0034269A" w:rsidRDefault="0034269A" w:rsidP="00584DAB"/>
          <w:tbl>
            <w:tblPr>
              <w:tblW w:w="0" w:type="auto"/>
              <w:tblInd w:w="744" w:type="dxa"/>
              <w:tblLook w:val="01E0" w:firstRow="1" w:lastRow="1" w:firstColumn="1" w:lastColumn="1" w:noHBand="0" w:noVBand="0"/>
            </w:tblPr>
            <w:tblGrid>
              <w:gridCol w:w="7870"/>
            </w:tblGrid>
            <w:tr w:rsidR="0034269A" w:rsidTr="00FA1971">
              <w:trPr>
                <w:trHeight w:val="7000"/>
              </w:trPr>
              <w:tc>
                <w:tcPr>
                  <w:tcW w:w="7870" w:type="dxa"/>
                  <w:shd w:val="clear" w:color="auto" w:fill="auto"/>
                </w:tcPr>
                <w:p w:rsidR="00845779" w:rsidRDefault="00845779" w:rsidP="00845779">
                  <w:pPr>
                    <w:autoSpaceDE w:val="0"/>
                    <w:autoSpaceDN w:val="0"/>
                    <w:adjustRightInd w:val="0"/>
                    <w:jc w:val="center"/>
                    <w:rPr>
                      <w:rFonts w:cs="Arial"/>
                      <w:b/>
                      <w:bCs/>
                      <w:color w:val="3333CC"/>
                      <w:sz w:val="43"/>
                      <w:szCs w:val="48"/>
                    </w:rPr>
                  </w:pPr>
                </w:p>
                <w:p w:rsidR="00845779" w:rsidRDefault="00845779" w:rsidP="00845779">
                  <w:pPr>
                    <w:autoSpaceDE w:val="0"/>
                    <w:autoSpaceDN w:val="0"/>
                    <w:adjustRightInd w:val="0"/>
                    <w:jc w:val="center"/>
                    <w:rPr>
                      <w:rFonts w:cs="Arial"/>
                      <w:b/>
                      <w:bCs/>
                      <w:color w:val="3333CC"/>
                      <w:sz w:val="43"/>
                      <w:szCs w:val="48"/>
                    </w:rPr>
                  </w:pPr>
                </w:p>
                <w:p w:rsidR="00845779" w:rsidRDefault="00845779" w:rsidP="00845779">
                  <w:pPr>
                    <w:autoSpaceDE w:val="0"/>
                    <w:autoSpaceDN w:val="0"/>
                    <w:adjustRightInd w:val="0"/>
                    <w:jc w:val="center"/>
                    <w:rPr>
                      <w:rFonts w:cs="Arial"/>
                      <w:b/>
                      <w:bCs/>
                      <w:color w:val="3333CC"/>
                      <w:sz w:val="43"/>
                      <w:szCs w:val="48"/>
                    </w:rPr>
                  </w:pPr>
                </w:p>
                <w:p w:rsidR="00845779" w:rsidRDefault="00845779" w:rsidP="00845779">
                  <w:pPr>
                    <w:autoSpaceDE w:val="0"/>
                    <w:autoSpaceDN w:val="0"/>
                    <w:adjustRightInd w:val="0"/>
                    <w:jc w:val="center"/>
                    <w:rPr>
                      <w:rFonts w:cs="Arial"/>
                      <w:b/>
                      <w:bCs/>
                      <w:color w:val="3333CC"/>
                      <w:sz w:val="43"/>
                      <w:szCs w:val="48"/>
                    </w:rPr>
                  </w:pPr>
                </w:p>
                <w:p w:rsidR="00845779" w:rsidRDefault="00845779" w:rsidP="00845779">
                  <w:pPr>
                    <w:autoSpaceDE w:val="0"/>
                    <w:autoSpaceDN w:val="0"/>
                    <w:adjustRightInd w:val="0"/>
                    <w:jc w:val="center"/>
                    <w:rPr>
                      <w:rFonts w:cs="Arial"/>
                      <w:b/>
                      <w:bCs/>
                      <w:color w:val="3333CC"/>
                      <w:sz w:val="43"/>
                      <w:szCs w:val="48"/>
                    </w:rPr>
                  </w:pPr>
                </w:p>
                <w:p w:rsidR="00BB27FF" w:rsidRDefault="00BB27FF" w:rsidP="00845779">
                  <w:pPr>
                    <w:autoSpaceDE w:val="0"/>
                    <w:autoSpaceDN w:val="0"/>
                    <w:adjustRightInd w:val="0"/>
                    <w:jc w:val="center"/>
                    <w:rPr>
                      <w:rFonts w:cs="Arial"/>
                      <w:b/>
                      <w:bCs/>
                      <w:color w:val="3333CC"/>
                      <w:sz w:val="43"/>
                      <w:szCs w:val="48"/>
                    </w:rPr>
                  </w:pPr>
                </w:p>
                <w:p w:rsidR="00845779" w:rsidRPr="00836CF7" w:rsidRDefault="00845779" w:rsidP="00845779">
                  <w:pPr>
                    <w:autoSpaceDE w:val="0"/>
                    <w:autoSpaceDN w:val="0"/>
                    <w:adjustRightInd w:val="0"/>
                    <w:jc w:val="center"/>
                    <w:rPr>
                      <w:rFonts w:cs="Arial"/>
                      <w:b/>
                      <w:bCs/>
                      <w:color w:val="3333CC"/>
                      <w:sz w:val="43"/>
                      <w:szCs w:val="48"/>
                    </w:rPr>
                  </w:pPr>
                  <w:r w:rsidRPr="00836CF7">
                    <w:rPr>
                      <w:rFonts w:cs="Arial"/>
                      <w:b/>
                      <w:bCs/>
                      <w:color w:val="3333CC"/>
                      <w:sz w:val="43"/>
                      <w:szCs w:val="48"/>
                    </w:rPr>
                    <w:t xml:space="preserve">INTERNAL AUDIT </w:t>
                  </w:r>
                </w:p>
                <w:p w:rsidR="001A121A" w:rsidRDefault="00877D4D" w:rsidP="00845779">
                  <w:pPr>
                    <w:autoSpaceDE w:val="0"/>
                    <w:autoSpaceDN w:val="0"/>
                    <w:adjustRightInd w:val="0"/>
                    <w:jc w:val="center"/>
                    <w:rPr>
                      <w:rFonts w:cs="Arial"/>
                      <w:b/>
                      <w:bCs/>
                      <w:color w:val="3333CC"/>
                      <w:sz w:val="43"/>
                      <w:szCs w:val="48"/>
                    </w:rPr>
                  </w:pPr>
                  <w:r>
                    <w:rPr>
                      <w:rFonts w:cs="Arial"/>
                      <w:b/>
                      <w:bCs/>
                      <w:color w:val="3333CC"/>
                      <w:sz w:val="43"/>
                      <w:szCs w:val="48"/>
                    </w:rPr>
                    <w:t xml:space="preserve"> </w:t>
                  </w:r>
                  <w:r w:rsidR="0054156A">
                    <w:rPr>
                      <w:rFonts w:cs="Arial"/>
                      <w:b/>
                      <w:bCs/>
                      <w:color w:val="3333CC"/>
                      <w:sz w:val="43"/>
                      <w:szCs w:val="48"/>
                    </w:rPr>
                    <w:t>FINAL</w:t>
                  </w:r>
                  <w:bookmarkStart w:id="0" w:name="_GoBack"/>
                  <w:bookmarkEnd w:id="0"/>
                  <w:r>
                    <w:rPr>
                      <w:rFonts w:cs="Arial"/>
                      <w:b/>
                      <w:bCs/>
                      <w:color w:val="3333CC"/>
                      <w:sz w:val="43"/>
                      <w:szCs w:val="48"/>
                    </w:rPr>
                    <w:t xml:space="preserve"> </w:t>
                  </w:r>
                  <w:r w:rsidR="00845779" w:rsidRPr="00836CF7">
                    <w:rPr>
                      <w:rFonts w:cs="Arial"/>
                      <w:b/>
                      <w:bCs/>
                      <w:color w:val="3333CC"/>
                      <w:sz w:val="43"/>
                      <w:szCs w:val="48"/>
                    </w:rPr>
                    <w:t xml:space="preserve">REPORT </w:t>
                  </w:r>
                </w:p>
                <w:p w:rsidR="00845779" w:rsidRPr="00836CF7" w:rsidRDefault="00845779" w:rsidP="00845779">
                  <w:pPr>
                    <w:autoSpaceDE w:val="0"/>
                    <w:autoSpaceDN w:val="0"/>
                    <w:adjustRightInd w:val="0"/>
                    <w:jc w:val="center"/>
                    <w:rPr>
                      <w:rFonts w:cs="Arial"/>
                      <w:b/>
                      <w:bCs/>
                      <w:color w:val="3333CC"/>
                      <w:sz w:val="43"/>
                      <w:szCs w:val="48"/>
                    </w:rPr>
                  </w:pPr>
                  <w:r w:rsidRPr="00836CF7">
                    <w:rPr>
                      <w:rFonts w:cs="Arial"/>
                      <w:b/>
                      <w:bCs/>
                      <w:color w:val="3333CC"/>
                      <w:sz w:val="43"/>
                      <w:szCs w:val="48"/>
                    </w:rPr>
                    <w:t>(</w:t>
                  </w:r>
                  <w:r w:rsidR="001A121A" w:rsidRPr="001A121A">
                    <w:rPr>
                      <w:rFonts w:cs="Arial"/>
                      <w:b/>
                      <w:bCs/>
                      <w:color w:val="3333CC"/>
                      <w:sz w:val="43"/>
                      <w:szCs w:val="48"/>
                    </w:rPr>
                    <w:t>CBC 01/19-20</w:t>
                  </w:r>
                  <w:r w:rsidR="001A121A">
                    <w:rPr>
                      <w:rFonts w:cs="Arial"/>
                      <w:b/>
                      <w:bCs/>
                      <w:color w:val="3333CC"/>
                      <w:sz w:val="43"/>
                      <w:szCs w:val="48"/>
                    </w:rPr>
                    <w:t xml:space="preserve"> </w:t>
                  </w:r>
                  <w:r w:rsidR="001A121A" w:rsidRPr="001A121A">
                    <w:rPr>
                      <w:rFonts w:cs="Arial"/>
                      <w:b/>
                      <w:bCs/>
                      <w:color w:val="3333CC"/>
                      <w:sz w:val="43"/>
                      <w:szCs w:val="48"/>
                    </w:rPr>
                    <w:t>SRBC 02/19-20</w:t>
                  </w:r>
                  <w:r w:rsidRPr="00836CF7">
                    <w:rPr>
                      <w:rFonts w:cs="Arial"/>
                      <w:b/>
                      <w:bCs/>
                      <w:color w:val="3333CC"/>
                      <w:sz w:val="43"/>
                      <w:szCs w:val="48"/>
                    </w:rPr>
                    <w:t>)</w:t>
                  </w:r>
                </w:p>
                <w:p w:rsidR="00845779" w:rsidRPr="00836CF7" w:rsidRDefault="00845779" w:rsidP="00845779">
                  <w:pPr>
                    <w:autoSpaceDE w:val="0"/>
                    <w:autoSpaceDN w:val="0"/>
                    <w:adjustRightInd w:val="0"/>
                    <w:jc w:val="center"/>
                    <w:rPr>
                      <w:rFonts w:cs="Arial"/>
                      <w:b/>
                      <w:bCs/>
                      <w:color w:val="3333CC"/>
                      <w:sz w:val="43"/>
                      <w:szCs w:val="48"/>
                    </w:rPr>
                  </w:pPr>
                </w:p>
                <w:p w:rsidR="00845779" w:rsidRPr="00836CF7" w:rsidRDefault="001A121A" w:rsidP="00845779">
                  <w:pPr>
                    <w:autoSpaceDE w:val="0"/>
                    <w:autoSpaceDN w:val="0"/>
                    <w:adjustRightInd w:val="0"/>
                    <w:jc w:val="center"/>
                    <w:rPr>
                      <w:rFonts w:cs="Arial"/>
                      <w:b/>
                      <w:bCs/>
                      <w:color w:val="3333CC"/>
                      <w:sz w:val="43"/>
                      <w:szCs w:val="48"/>
                    </w:rPr>
                  </w:pPr>
                  <w:r>
                    <w:rPr>
                      <w:rFonts w:cs="Arial"/>
                      <w:b/>
                      <w:bCs/>
                      <w:color w:val="3333CC"/>
                      <w:sz w:val="43"/>
                      <w:szCs w:val="48"/>
                    </w:rPr>
                    <w:t>REVIEW OF CREDITORS</w:t>
                  </w:r>
                </w:p>
                <w:p w:rsidR="0034269A" w:rsidRDefault="0034269A" w:rsidP="00584DAB">
                  <w:pPr>
                    <w:autoSpaceDE w:val="0"/>
                    <w:autoSpaceDN w:val="0"/>
                    <w:adjustRightInd w:val="0"/>
                    <w:jc w:val="center"/>
                  </w:pPr>
                </w:p>
              </w:tc>
            </w:tr>
          </w:tbl>
          <w:p w:rsidR="0034269A" w:rsidRDefault="0034269A" w:rsidP="00584DAB">
            <w:pPr>
              <w:tabs>
                <w:tab w:val="left" w:pos="2445"/>
              </w:tabs>
            </w:pPr>
            <w:r>
              <w:tab/>
            </w:r>
          </w:p>
          <w:p w:rsidR="0034269A" w:rsidRDefault="0034269A" w:rsidP="00584DAB">
            <w:pPr>
              <w:tabs>
                <w:tab w:val="left" w:pos="2445"/>
              </w:tabs>
            </w:pPr>
          </w:p>
          <w:p w:rsidR="0034269A" w:rsidRDefault="0034269A" w:rsidP="00584DAB">
            <w:pPr>
              <w:tabs>
                <w:tab w:val="left" w:pos="2445"/>
              </w:tabs>
            </w:pPr>
          </w:p>
          <w:p w:rsidR="009932C2" w:rsidRDefault="009932C2" w:rsidP="00584DAB">
            <w:pPr>
              <w:tabs>
                <w:tab w:val="left" w:pos="2445"/>
              </w:tabs>
            </w:pPr>
          </w:p>
          <w:p w:rsidR="0034269A" w:rsidRDefault="0034269A" w:rsidP="00584DAB">
            <w:pPr>
              <w:tabs>
                <w:tab w:val="left" w:pos="2445"/>
              </w:tabs>
            </w:pPr>
          </w:p>
          <w:p w:rsidR="0034269A" w:rsidRDefault="0034269A" w:rsidP="00584DAB">
            <w:pPr>
              <w:tabs>
                <w:tab w:val="left" w:pos="2445"/>
              </w:tabs>
            </w:pPr>
          </w:p>
          <w:p w:rsidR="0034269A" w:rsidRDefault="0034269A" w:rsidP="00584DAB"/>
          <w:p w:rsidR="00877D4D" w:rsidRDefault="00877D4D" w:rsidP="00877D4D">
            <w:pPr>
              <w:jc w:val="right"/>
            </w:pPr>
            <w:r>
              <w:t>Issued By: Janice Bamber</w:t>
            </w:r>
          </w:p>
          <w:p w:rsidR="00877D4D" w:rsidRDefault="00877D4D" w:rsidP="00877D4D">
            <w:pPr>
              <w:jc w:val="right"/>
            </w:pPr>
            <w:r>
              <w:t>Interim Head of Shared Assurance</w:t>
            </w:r>
          </w:p>
          <w:p w:rsidR="00877D4D" w:rsidRDefault="00877D4D" w:rsidP="00877D4D">
            <w:pPr>
              <w:jc w:val="right"/>
            </w:pPr>
            <w:r>
              <w:t>Auditor: Linsey Roberts</w:t>
            </w:r>
          </w:p>
          <w:p w:rsidR="00877D4D" w:rsidRDefault="00877D4D" w:rsidP="00877D4D">
            <w:pPr>
              <w:jc w:val="right"/>
            </w:pPr>
            <w:r>
              <w:t>9</w:t>
            </w:r>
            <w:r w:rsidRPr="00877D4D">
              <w:rPr>
                <w:vertAlign w:val="superscript"/>
              </w:rPr>
              <w:t>th</w:t>
            </w:r>
            <w:r>
              <w:t xml:space="preserve"> March 2020</w:t>
            </w:r>
          </w:p>
          <w:p w:rsidR="00877D4D" w:rsidRDefault="00877D4D" w:rsidP="00877D4D">
            <w:pPr>
              <w:jc w:val="right"/>
            </w:pPr>
          </w:p>
          <w:p w:rsidR="00877D4D" w:rsidRDefault="00877D4D" w:rsidP="00877D4D">
            <w:pPr>
              <w:jc w:val="right"/>
            </w:pPr>
          </w:p>
          <w:p w:rsidR="00877D4D" w:rsidRDefault="00877D4D" w:rsidP="00877D4D">
            <w:pPr>
              <w:jc w:val="center"/>
            </w:pPr>
          </w:p>
          <w:p w:rsidR="0034269A" w:rsidRDefault="0034269A" w:rsidP="00877D4D">
            <w:pPr>
              <w:jc w:val="right"/>
            </w:pPr>
            <w:r>
              <w:t xml:space="preserve">                                                                            </w:t>
            </w:r>
          </w:p>
          <w:p w:rsidR="0034269A" w:rsidRPr="00774BEB" w:rsidRDefault="0034269A" w:rsidP="00584DAB">
            <w:r>
              <w:t xml:space="preserve">              </w:t>
            </w:r>
          </w:p>
        </w:tc>
      </w:tr>
    </w:tbl>
    <w:p w:rsidR="00A82697" w:rsidRDefault="00A82697"/>
    <w:p w:rsidR="00B07B3C" w:rsidRDefault="00B07B3C"/>
    <w:p w:rsidR="00B07B3C" w:rsidRDefault="00B07B3C"/>
    <w:tbl>
      <w:tblPr>
        <w:tblW w:w="10773" w:type="dxa"/>
        <w:tblInd w:w="-5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64"/>
        <w:gridCol w:w="9809"/>
      </w:tblGrid>
      <w:tr w:rsidR="00E03413" w:rsidRPr="00D30D54" w:rsidTr="003A0DBA">
        <w:tc>
          <w:tcPr>
            <w:tcW w:w="964" w:type="dxa"/>
            <w:tcBorders>
              <w:bottom w:val="single" w:sz="6" w:space="0" w:color="auto"/>
            </w:tcBorders>
            <w:shd w:val="clear" w:color="auto" w:fill="B8CCE4" w:themeFill="accent1" w:themeFillTint="66"/>
          </w:tcPr>
          <w:p w:rsidR="00E03413" w:rsidRPr="00D30D54" w:rsidRDefault="00E03413" w:rsidP="006B7445">
            <w:pPr>
              <w:jc w:val="center"/>
              <w:rPr>
                <w:b/>
              </w:rPr>
            </w:pPr>
            <w:r>
              <w:rPr>
                <w:b/>
              </w:rPr>
              <w:lastRenderedPageBreak/>
              <w:t>1</w:t>
            </w:r>
          </w:p>
        </w:tc>
        <w:tc>
          <w:tcPr>
            <w:tcW w:w="9809" w:type="dxa"/>
            <w:tcBorders>
              <w:bottom w:val="single" w:sz="6" w:space="0" w:color="auto"/>
            </w:tcBorders>
            <w:shd w:val="clear" w:color="auto" w:fill="B8CCE4" w:themeFill="accent1" w:themeFillTint="66"/>
          </w:tcPr>
          <w:p w:rsidR="00E03413" w:rsidRPr="00D30D54" w:rsidRDefault="00E03413" w:rsidP="00E03413">
            <w:pPr>
              <w:rPr>
                <w:b/>
              </w:rPr>
            </w:pPr>
            <w:r>
              <w:rPr>
                <w:b/>
              </w:rPr>
              <w:t>REASONS FOR AUDIT /  SCOPE</w:t>
            </w:r>
            <w:r w:rsidRPr="00D30D54">
              <w:rPr>
                <w:b/>
              </w:rPr>
              <w:t xml:space="preserve"> </w:t>
            </w:r>
          </w:p>
        </w:tc>
      </w:tr>
      <w:tr w:rsidR="00E03413" w:rsidRPr="00D30D54" w:rsidTr="003A0DBA">
        <w:tc>
          <w:tcPr>
            <w:tcW w:w="964" w:type="dxa"/>
            <w:tcBorders>
              <w:top w:val="single" w:sz="6" w:space="0" w:color="auto"/>
              <w:bottom w:val="nil"/>
            </w:tcBorders>
          </w:tcPr>
          <w:p w:rsidR="00E03413" w:rsidRDefault="00E03413" w:rsidP="006B7445">
            <w:pPr>
              <w:jc w:val="center"/>
              <w:rPr>
                <w:sz w:val="20"/>
                <w:szCs w:val="20"/>
              </w:rPr>
            </w:pPr>
            <w:r w:rsidRPr="00F31D31">
              <w:rPr>
                <w:sz w:val="20"/>
                <w:szCs w:val="20"/>
              </w:rPr>
              <w:t>1.1</w:t>
            </w:r>
          </w:p>
          <w:p w:rsidR="00800C6A" w:rsidRDefault="00800C6A" w:rsidP="006B7445">
            <w:pPr>
              <w:jc w:val="center"/>
              <w:rPr>
                <w:sz w:val="20"/>
                <w:szCs w:val="20"/>
              </w:rPr>
            </w:pPr>
          </w:p>
          <w:p w:rsidR="00800C6A" w:rsidRDefault="00800C6A" w:rsidP="006B7445">
            <w:pPr>
              <w:jc w:val="center"/>
              <w:rPr>
                <w:sz w:val="20"/>
                <w:szCs w:val="20"/>
              </w:rPr>
            </w:pPr>
          </w:p>
          <w:p w:rsidR="00800C6A" w:rsidRDefault="00800C6A" w:rsidP="006B7445">
            <w:pPr>
              <w:jc w:val="center"/>
              <w:rPr>
                <w:sz w:val="20"/>
                <w:szCs w:val="20"/>
              </w:rPr>
            </w:pPr>
          </w:p>
          <w:p w:rsidR="00800C6A" w:rsidRDefault="00800C6A" w:rsidP="006B7445">
            <w:pPr>
              <w:jc w:val="center"/>
              <w:rPr>
                <w:sz w:val="20"/>
                <w:szCs w:val="20"/>
              </w:rPr>
            </w:pPr>
          </w:p>
          <w:p w:rsidR="00800C6A" w:rsidRDefault="00800C6A" w:rsidP="006B7445">
            <w:pPr>
              <w:jc w:val="center"/>
              <w:rPr>
                <w:sz w:val="20"/>
                <w:szCs w:val="20"/>
              </w:rPr>
            </w:pPr>
          </w:p>
          <w:p w:rsidR="00800C6A" w:rsidRDefault="00800C6A" w:rsidP="006B7445">
            <w:pPr>
              <w:jc w:val="center"/>
              <w:rPr>
                <w:sz w:val="20"/>
                <w:szCs w:val="20"/>
              </w:rPr>
            </w:pPr>
          </w:p>
          <w:p w:rsidR="00800C6A" w:rsidRDefault="00800C6A" w:rsidP="006B7445">
            <w:pPr>
              <w:jc w:val="center"/>
              <w:rPr>
                <w:sz w:val="20"/>
                <w:szCs w:val="20"/>
              </w:rPr>
            </w:pPr>
          </w:p>
          <w:p w:rsidR="00CA7A8F" w:rsidRDefault="00CA7A8F" w:rsidP="006B7445">
            <w:pPr>
              <w:jc w:val="center"/>
              <w:rPr>
                <w:sz w:val="20"/>
                <w:szCs w:val="20"/>
              </w:rPr>
            </w:pPr>
          </w:p>
          <w:p w:rsidR="00CA7A8F" w:rsidRDefault="00CA7A8F" w:rsidP="006B7445">
            <w:pPr>
              <w:jc w:val="center"/>
              <w:rPr>
                <w:sz w:val="20"/>
                <w:szCs w:val="20"/>
              </w:rPr>
            </w:pPr>
          </w:p>
          <w:p w:rsidR="00800C6A" w:rsidRDefault="00800C6A" w:rsidP="006B7445">
            <w:pPr>
              <w:jc w:val="center"/>
              <w:rPr>
                <w:sz w:val="20"/>
                <w:szCs w:val="20"/>
              </w:rPr>
            </w:pPr>
          </w:p>
          <w:p w:rsidR="00800C6A" w:rsidRDefault="00800C6A" w:rsidP="006B7445">
            <w:pPr>
              <w:jc w:val="center"/>
              <w:rPr>
                <w:sz w:val="20"/>
                <w:szCs w:val="20"/>
              </w:rPr>
            </w:pPr>
          </w:p>
          <w:p w:rsidR="00800C6A" w:rsidRPr="00F31D31" w:rsidRDefault="00800C6A" w:rsidP="006B7445">
            <w:pPr>
              <w:jc w:val="center"/>
              <w:rPr>
                <w:b/>
                <w:sz w:val="20"/>
                <w:szCs w:val="20"/>
              </w:rPr>
            </w:pPr>
            <w:r>
              <w:rPr>
                <w:sz w:val="20"/>
                <w:szCs w:val="20"/>
              </w:rPr>
              <w:t>1.2</w:t>
            </w:r>
          </w:p>
          <w:p w:rsidR="00E03413" w:rsidRPr="00F31D31" w:rsidRDefault="00E03413" w:rsidP="006B7445">
            <w:pPr>
              <w:jc w:val="center"/>
              <w:rPr>
                <w:b/>
                <w:sz w:val="20"/>
                <w:szCs w:val="20"/>
              </w:rPr>
            </w:pPr>
          </w:p>
          <w:p w:rsidR="00E03413" w:rsidRPr="00F31D31" w:rsidRDefault="00E03413" w:rsidP="006B7445">
            <w:pPr>
              <w:jc w:val="center"/>
              <w:rPr>
                <w:b/>
                <w:sz w:val="20"/>
                <w:szCs w:val="20"/>
              </w:rPr>
            </w:pPr>
          </w:p>
          <w:p w:rsidR="00E62FC8" w:rsidRPr="00F31D31" w:rsidRDefault="00E62FC8" w:rsidP="006B7445">
            <w:pPr>
              <w:jc w:val="center"/>
              <w:rPr>
                <w:b/>
                <w:sz w:val="20"/>
                <w:szCs w:val="20"/>
              </w:rPr>
            </w:pPr>
          </w:p>
        </w:tc>
        <w:tc>
          <w:tcPr>
            <w:tcW w:w="9809" w:type="dxa"/>
            <w:tcBorders>
              <w:top w:val="single" w:sz="6" w:space="0" w:color="auto"/>
              <w:bottom w:val="nil"/>
            </w:tcBorders>
          </w:tcPr>
          <w:p w:rsidR="00CA7A8F" w:rsidRDefault="00CA7A8F" w:rsidP="00D93DD8">
            <w:pPr>
              <w:spacing w:after="200" w:line="276" w:lineRule="auto"/>
              <w:rPr>
                <w:iCs/>
                <w:sz w:val="20"/>
                <w:szCs w:val="20"/>
              </w:rPr>
            </w:pPr>
            <w:r>
              <w:rPr>
                <w:iCs/>
                <w:sz w:val="20"/>
                <w:szCs w:val="20"/>
              </w:rPr>
              <w:t xml:space="preserve">The Audit was included in the Audit Plan for 2019/20.  </w:t>
            </w:r>
            <w:r w:rsidR="00CA5A81">
              <w:rPr>
                <w:iCs/>
                <w:sz w:val="20"/>
                <w:szCs w:val="20"/>
              </w:rPr>
              <w:t xml:space="preserve">The Councils Creditor system is one of the Council’s key financial systems, as such the system is high risk and has previously been audited on an annual basis.  </w:t>
            </w:r>
            <w:r w:rsidR="00800C6A">
              <w:rPr>
                <w:iCs/>
                <w:sz w:val="20"/>
                <w:szCs w:val="20"/>
              </w:rPr>
              <w:t xml:space="preserve">As part of the continuing development of Risk Based Auditing and the desire to </w:t>
            </w:r>
            <w:r w:rsidR="00CA5A81">
              <w:rPr>
                <w:iCs/>
                <w:sz w:val="20"/>
                <w:szCs w:val="20"/>
              </w:rPr>
              <w:t>continue to enhance the</w:t>
            </w:r>
            <w:r w:rsidR="00800C6A">
              <w:rPr>
                <w:iCs/>
                <w:sz w:val="20"/>
                <w:szCs w:val="20"/>
              </w:rPr>
              <w:t xml:space="preserve"> development the approach to audit, improvements are being made in regard to the risked based approach to planning, this may result in financial systems not requiring audit review on an annual basis.  As part of the </w:t>
            </w:r>
            <w:r w:rsidR="00B07B3C">
              <w:rPr>
                <w:iCs/>
                <w:sz w:val="20"/>
                <w:szCs w:val="20"/>
              </w:rPr>
              <w:t>risk-based</w:t>
            </w:r>
            <w:r w:rsidR="00800C6A">
              <w:rPr>
                <w:iCs/>
                <w:sz w:val="20"/>
                <w:szCs w:val="20"/>
              </w:rPr>
              <w:t xml:space="preserve"> approach this </w:t>
            </w:r>
            <w:r w:rsidR="00CA5A81">
              <w:rPr>
                <w:iCs/>
                <w:sz w:val="20"/>
                <w:szCs w:val="20"/>
              </w:rPr>
              <w:t xml:space="preserve">review has focused on the key risks </w:t>
            </w:r>
            <w:r w:rsidR="00800C6A">
              <w:rPr>
                <w:iCs/>
                <w:sz w:val="20"/>
                <w:szCs w:val="20"/>
              </w:rPr>
              <w:t xml:space="preserve">and operation of controls </w:t>
            </w:r>
            <w:r w:rsidR="00CA5A81">
              <w:rPr>
                <w:iCs/>
                <w:sz w:val="20"/>
                <w:szCs w:val="20"/>
              </w:rPr>
              <w:t xml:space="preserve">within the </w:t>
            </w:r>
            <w:r w:rsidR="00800C6A">
              <w:rPr>
                <w:iCs/>
                <w:sz w:val="20"/>
                <w:szCs w:val="20"/>
              </w:rPr>
              <w:t xml:space="preserve">Creditors System – </w:t>
            </w:r>
            <w:proofErr w:type="spellStart"/>
            <w:r w:rsidR="00800C6A">
              <w:rPr>
                <w:iCs/>
                <w:sz w:val="20"/>
                <w:szCs w:val="20"/>
              </w:rPr>
              <w:t>Civica</w:t>
            </w:r>
            <w:proofErr w:type="spellEnd"/>
            <w:r w:rsidR="00800C6A">
              <w:rPr>
                <w:iCs/>
                <w:sz w:val="20"/>
                <w:szCs w:val="20"/>
              </w:rPr>
              <w:t xml:space="preserve">, i.e., the computer related controls that exist for all payments.  </w:t>
            </w:r>
            <w:r>
              <w:rPr>
                <w:iCs/>
                <w:sz w:val="20"/>
                <w:szCs w:val="20"/>
              </w:rPr>
              <w:t>Computer controls are established within systems, generally, at implementation with improvements / changes made as and when processes and / or legislation changes.  The adequacy of the established controls within the Creditors system have not been reviewed as part of previous audit reviews.</w:t>
            </w:r>
          </w:p>
          <w:p w:rsidR="00F733A3" w:rsidRPr="00106C7D" w:rsidRDefault="00CA7A8F" w:rsidP="00D93DD8">
            <w:pPr>
              <w:spacing w:after="200" w:line="276" w:lineRule="auto"/>
              <w:rPr>
                <w:iCs/>
                <w:sz w:val="20"/>
                <w:szCs w:val="20"/>
              </w:rPr>
            </w:pPr>
            <w:r>
              <w:rPr>
                <w:iCs/>
                <w:sz w:val="20"/>
                <w:szCs w:val="20"/>
              </w:rPr>
              <w:t>T</w:t>
            </w:r>
            <w:r w:rsidR="00CA5A81">
              <w:rPr>
                <w:iCs/>
                <w:sz w:val="20"/>
                <w:szCs w:val="20"/>
              </w:rPr>
              <w:t>he Creditor system is part of the Shared Services arrangement between Chorley BC and South Ribble BC, whilst both Council’s have their own respective Financial Procedure Rules / Financial Regulations relating to the payment of invoices, the system operates the same across both Council’s albeit with their own respective purchasing limits / delegations and levels of authorisation required.</w:t>
            </w:r>
          </w:p>
        </w:tc>
      </w:tr>
      <w:tr w:rsidR="00E03413" w:rsidRPr="00D30D54" w:rsidTr="003A0DBA">
        <w:tc>
          <w:tcPr>
            <w:tcW w:w="964" w:type="dxa"/>
            <w:tcBorders>
              <w:top w:val="nil"/>
              <w:bottom w:val="single" w:sz="4" w:space="0" w:color="auto"/>
            </w:tcBorders>
          </w:tcPr>
          <w:p w:rsidR="00E03413" w:rsidRDefault="00E03413" w:rsidP="006C346F">
            <w:pPr>
              <w:jc w:val="center"/>
              <w:rPr>
                <w:sz w:val="20"/>
                <w:szCs w:val="20"/>
              </w:rPr>
            </w:pPr>
            <w:r w:rsidRPr="00F31D31">
              <w:rPr>
                <w:sz w:val="20"/>
                <w:szCs w:val="20"/>
              </w:rPr>
              <w:t>1.</w:t>
            </w:r>
            <w:r w:rsidR="00800C6A">
              <w:rPr>
                <w:sz w:val="20"/>
                <w:szCs w:val="20"/>
              </w:rPr>
              <w:t>3</w:t>
            </w:r>
          </w:p>
          <w:p w:rsidR="006C346F" w:rsidRDefault="006C346F" w:rsidP="006C346F">
            <w:pPr>
              <w:jc w:val="center"/>
              <w:rPr>
                <w:sz w:val="20"/>
                <w:szCs w:val="20"/>
              </w:rPr>
            </w:pPr>
          </w:p>
          <w:p w:rsidR="006C346F" w:rsidRDefault="006C346F" w:rsidP="006C346F">
            <w:pPr>
              <w:jc w:val="center"/>
              <w:rPr>
                <w:sz w:val="20"/>
                <w:szCs w:val="20"/>
              </w:rPr>
            </w:pPr>
          </w:p>
          <w:p w:rsidR="006C346F" w:rsidRPr="00F31D31" w:rsidRDefault="006C346F" w:rsidP="006C346F">
            <w:pPr>
              <w:jc w:val="center"/>
              <w:rPr>
                <w:sz w:val="20"/>
                <w:szCs w:val="20"/>
              </w:rPr>
            </w:pPr>
          </w:p>
        </w:tc>
        <w:tc>
          <w:tcPr>
            <w:tcW w:w="9809" w:type="dxa"/>
            <w:tcBorders>
              <w:top w:val="nil"/>
              <w:bottom w:val="single" w:sz="4" w:space="0" w:color="auto"/>
            </w:tcBorders>
          </w:tcPr>
          <w:p w:rsidR="00AD46A7" w:rsidRDefault="00AD46A7" w:rsidP="00AD46A7">
            <w:pPr>
              <w:jc w:val="both"/>
              <w:rPr>
                <w:rFonts w:cs="Arial"/>
                <w:sz w:val="20"/>
                <w:szCs w:val="20"/>
              </w:rPr>
            </w:pPr>
            <w:r>
              <w:rPr>
                <w:rFonts w:cs="Arial"/>
                <w:sz w:val="20"/>
                <w:szCs w:val="20"/>
              </w:rPr>
              <w:t xml:space="preserve">Work undertaken </w:t>
            </w:r>
            <w:r w:rsidR="00800C6A">
              <w:rPr>
                <w:rFonts w:cs="Arial"/>
                <w:sz w:val="20"/>
                <w:szCs w:val="20"/>
              </w:rPr>
              <w:t>focused on:-</w:t>
            </w:r>
            <w:r w:rsidR="00822523">
              <w:rPr>
                <w:rFonts w:cs="Arial"/>
                <w:sz w:val="20"/>
                <w:szCs w:val="20"/>
              </w:rPr>
              <w:t xml:space="preserve"> </w:t>
            </w:r>
          </w:p>
          <w:p w:rsidR="00D93DD8" w:rsidRPr="00D93DD8" w:rsidRDefault="00D93DD8" w:rsidP="00D93DD8">
            <w:pPr>
              <w:spacing w:after="200" w:line="276" w:lineRule="auto"/>
              <w:ind w:left="720"/>
              <w:contextualSpacing/>
              <w:rPr>
                <w:rFonts w:eastAsiaTheme="minorHAnsi" w:cs="Arial"/>
                <w:sz w:val="20"/>
                <w:szCs w:val="20"/>
                <w:lang w:eastAsia="en-US"/>
              </w:rPr>
            </w:pPr>
          </w:p>
          <w:p w:rsidR="00D93DD8" w:rsidRPr="00D93DD8" w:rsidRDefault="00D93DD8" w:rsidP="00D93DD8">
            <w:pPr>
              <w:numPr>
                <w:ilvl w:val="0"/>
                <w:numId w:val="29"/>
              </w:numPr>
              <w:spacing w:after="200" w:line="276" w:lineRule="auto"/>
              <w:contextualSpacing/>
              <w:rPr>
                <w:rFonts w:eastAsiaTheme="minorHAnsi" w:cs="Arial"/>
                <w:sz w:val="20"/>
                <w:szCs w:val="20"/>
                <w:lang w:eastAsia="en-US"/>
              </w:rPr>
            </w:pPr>
            <w:r w:rsidRPr="00D93DD8">
              <w:rPr>
                <w:rFonts w:eastAsiaTheme="minorHAnsi" w:cs="Arial"/>
                <w:sz w:val="20"/>
                <w:szCs w:val="20"/>
                <w:lang w:eastAsia="en-US"/>
              </w:rPr>
              <w:t xml:space="preserve">Creditor set up </w:t>
            </w:r>
            <w:r w:rsidR="00822523">
              <w:rPr>
                <w:rFonts w:eastAsiaTheme="minorHAnsi" w:cs="Arial"/>
                <w:sz w:val="20"/>
                <w:szCs w:val="20"/>
                <w:lang w:eastAsia="en-US"/>
              </w:rPr>
              <w:t xml:space="preserve">and Change requests </w:t>
            </w:r>
            <w:r w:rsidRPr="00D93DD8">
              <w:rPr>
                <w:rFonts w:eastAsiaTheme="minorHAnsi" w:cs="Arial"/>
                <w:sz w:val="20"/>
                <w:szCs w:val="20"/>
                <w:lang w:eastAsia="en-US"/>
              </w:rPr>
              <w:t>(including IR35 arrangements);</w:t>
            </w:r>
          </w:p>
          <w:p w:rsidR="00877D4D" w:rsidRDefault="00D93DD8" w:rsidP="00603C51">
            <w:pPr>
              <w:numPr>
                <w:ilvl w:val="0"/>
                <w:numId w:val="29"/>
              </w:numPr>
              <w:spacing w:after="200" w:line="276" w:lineRule="auto"/>
              <w:contextualSpacing/>
              <w:rPr>
                <w:rFonts w:eastAsiaTheme="minorHAnsi" w:cs="Arial"/>
                <w:sz w:val="20"/>
                <w:szCs w:val="20"/>
                <w:lang w:eastAsia="en-US"/>
              </w:rPr>
            </w:pPr>
            <w:r w:rsidRPr="00877D4D">
              <w:rPr>
                <w:rFonts w:eastAsiaTheme="minorHAnsi" w:cs="Arial"/>
                <w:sz w:val="20"/>
                <w:szCs w:val="20"/>
                <w:lang w:eastAsia="en-US"/>
              </w:rPr>
              <w:t>Ordering</w:t>
            </w:r>
            <w:r w:rsidR="00822523" w:rsidRPr="00877D4D">
              <w:rPr>
                <w:rFonts w:eastAsiaTheme="minorHAnsi" w:cs="Arial"/>
                <w:sz w:val="20"/>
                <w:szCs w:val="20"/>
                <w:lang w:eastAsia="en-US"/>
              </w:rPr>
              <w:t xml:space="preserve">, receipting and payment </w:t>
            </w:r>
            <w:r w:rsidRPr="00877D4D">
              <w:rPr>
                <w:rFonts w:eastAsiaTheme="minorHAnsi" w:cs="Arial"/>
                <w:sz w:val="20"/>
                <w:szCs w:val="20"/>
                <w:lang w:eastAsia="en-US"/>
              </w:rPr>
              <w:t>of goods and services;</w:t>
            </w:r>
            <w:r w:rsidR="00822523" w:rsidRPr="00877D4D">
              <w:rPr>
                <w:rFonts w:eastAsiaTheme="minorHAnsi" w:cs="Arial"/>
                <w:sz w:val="20"/>
                <w:szCs w:val="20"/>
                <w:lang w:eastAsia="en-US"/>
              </w:rPr>
              <w:t xml:space="preserve"> and</w:t>
            </w:r>
          </w:p>
          <w:p w:rsidR="00822523" w:rsidRPr="00877D4D" w:rsidRDefault="00D93DD8" w:rsidP="00603C51">
            <w:pPr>
              <w:numPr>
                <w:ilvl w:val="0"/>
                <w:numId w:val="29"/>
              </w:numPr>
              <w:spacing w:after="200" w:line="276" w:lineRule="auto"/>
              <w:contextualSpacing/>
              <w:rPr>
                <w:rFonts w:eastAsiaTheme="minorHAnsi" w:cs="Arial"/>
                <w:sz w:val="20"/>
                <w:szCs w:val="20"/>
                <w:lang w:eastAsia="en-US"/>
              </w:rPr>
            </w:pPr>
            <w:r w:rsidRPr="00877D4D">
              <w:rPr>
                <w:rFonts w:eastAsiaTheme="minorHAnsi" w:cs="Arial"/>
                <w:sz w:val="20"/>
                <w:szCs w:val="20"/>
                <w:lang w:eastAsia="en-US"/>
              </w:rPr>
              <w:t xml:space="preserve">System </w:t>
            </w:r>
            <w:r w:rsidR="00822523" w:rsidRPr="00877D4D">
              <w:rPr>
                <w:rFonts w:eastAsiaTheme="minorHAnsi" w:cs="Arial"/>
                <w:sz w:val="20"/>
                <w:szCs w:val="20"/>
                <w:lang w:eastAsia="en-US"/>
              </w:rPr>
              <w:t xml:space="preserve">user access </w:t>
            </w:r>
            <w:r w:rsidRPr="00877D4D">
              <w:rPr>
                <w:rFonts w:eastAsiaTheme="minorHAnsi" w:cs="Arial"/>
                <w:sz w:val="20"/>
                <w:szCs w:val="20"/>
                <w:lang w:eastAsia="en-US"/>
              </w:rPr>
              <w:t>control</w:t>
            </w:r>
            <w:r w:rsidR="00822523" w:rsidRPr="00877D4D">
              <w:rPr>
                <w:rFonts w:eastAsiaTheme="minorHAnsi" w:cs="Arial"/>
                <w:sz w:val="20"/>
                <w:szCs w:val="20"/>
                <w:lang w:eastAsia="en-US"/>
              </w:rPr>
              <w:t>s specifically relating to overrides of budget limits</w:t>
            </w:r>
          </w:p>
          <w:p w:rsidR="006157D9" w:rsidRPr="00F31D31" w:rsidRDefault="006157D9" w:rsidP="00CA5A81">
            <w:pPr>
              <w:spacing w:after="200" w:line="276" w:lineRule="auto"/>
              <w:ind w:left="720"/>
              <w:contextualSpacing/>
              <w:rPr>
                <w:i/>
                <w:iCs/>
                <w:sz w:val="20"/>
                <w:szCs w:val="20"/>
              </w:rPr>
            </w:pPr>
          </w:p>
        </w:tc>
      </w:tr>
    </w:tbl>
    <w:p w:rsidR="00E03413" w:rsidRDefault="00E03413"/>
    <w:tbl>
      <w:tblPr>
        <w:tblW w:w="10773" w:type="dxa"/>
        <w:tblInd w:w="-5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64"/>
        <w:gridCol w:w="9809"/>
      </w:tblGrid>
      <w:tr w:rsidR="0098430D" w:rsidRPr="00D30D54" w:rsidTr="003A0DBA">
        <w:tc>
          <w:tcPr>
            <w:tcW w:w="964" w:type="dxa"/>
            <w:tcBorders>
              <w:bottom w:val="single" w:sz="6" w:space="0" w:color="auto"/>
            </w:tcBorders>
            <w:shd w:val="clear" w:color="auto" w:fill="B8CCE4" w:themeFill="accent1" w:themeFillTint="66"/>
          </w:tcPr>
          <w:p w:rsidR="0098430D" w:rsidRDefault="00E03413" w:rsidP="006B7445">
            <w:pPr>
              <w:jc w:val="center"/>
              <w:rPr>
                <w:b/>
              </w:rPr>
            </w:pPr>
            <w:r>
              <w:rPr>
                <w:b/>
              </w:rPr>
              <w:t>2</w:t>
            </w:r>
          </w:p>
        </w:tc>
        <w:tc>
          <w:tcPr>
            <w:tcW w:w="9809" w:type="dxa"/>
            <w:tcBorders>
              <w:bottom w:val="single" w:sz="6" w:space="0" w:color="auto"/>
            </w:tcBorders>
            <w:shd w:val="clear" w:color="auto" w:fill="B8CCE4" w:themeFill="accent1" w:themeFillTint="66"/>
          </w:tcPr>
          <w:p w:rsidR="0098430D" w:rsidRPr="00D30D54" w:rsidRDefault="0098430D" w:rsidP="0098430D">
            <w:pPr>
              <w:rPr>
                <w:b/>
              </w:rPr>
            </w:pPr>
            <w:r>
              <w:rPr>
                <w:b/>
              </w:rPr>
              <w:t>ASSURANCE  RATING</w:t>
            </w:r>
          </w:p>
        </w:tc>
      </w:tr>
      <w:tr w:rsidR="0098430D" w:rsidRPr="006A0EC0" w:rsidTr="003A0DBA">
        <w:tc>
          <w:tcPr>
            <w:tcW w:w="964" w:type="dxa"/>
            <w:tcBorders>
              <w:top w:val="nil"/>
              <w:bottom w:val="nil"/>
            </w:tcBorders>
          </w:tcPr>
          <w:p w:rsidR="00822523" w:rsidRPr="00B07B3C" w:rsidRDefault="00877D4D" w:rsidP="006B7445">
            <w:pPr>
              <w:jc w:val="center"/>
              <w:rPr>
                <w:sz w:val="20"/>
                <w:szCs w:val="20"/>
              </w:rPr>
            </w:pPr>
            <w:r w:rsidRPr="00B07B3C">
              <w:rPr>
                <w:sz w:val="20"/>
                <w:szCs w:val="20"/>
              </w:rPr>
              <w:t>2.1</w:t>
            </w:r>
          </w:p>
          <w:p w:rsidR="00822523" w:rsidRPr="00B07B3C" w:rsidRDefault="00822523" w:rsidP="006B7445">
            <w:pPr>
              <w:jc w:val="center"/>
              <w:rPr>
                <w:sz w:val="20"/>
                <w:szCs w:val="20"/>
              </w:rPr>
            </w:pPr>
          </w:p>
          <w:p w:rsidR="00822523" w:rsidRPr="00B07B3C" w:rsidRDefault="00822523" w:rsidP="006B7445">
            <w:pPr>
              <w:jc w:val="center"/>
              <w:rPr>
                <w:sz w:val="20"/>
                <w:szCs w:val="20"/>
              </w:rPr>
            </w:pPr>
          </w:p>
          <w:p w:rsidR="00822523" w:rsidRPr="00B07B3C" w:rsidRDefault="00822523" w:rsidP="006B7445">
            <w:pPr>
              <w:jc w:val="center"/>
              <w:rPr>
                <w:sz w:val="20"/>
                <w:szCs w:val="20"/>
              </w:rPr>
            </w:pPr>
          </w:p>
          <w:p w:rsidR="00822523" w:rsidRPr="00B07B3C" w:rsidRDefault="00822523" w:rsidP="006B7445">
            <w:pPr>
              <w:jc w:val="center"/>
              <w:rPr>
                <w:sz w:val="20"/>
                <w:szCs w:val="20"/>
              </w:rPr>
            </w:pPr>
          </w:p>
          <w:p w:rsidR="00877D4D" w:rsidRPr="00B07B3C" w:rsidRDefault="00877D4D" w:rsidP="006B7445">
            <w:pPr>
              <w:jc w:val="center"/>
              <w:rPr>
                <w:sz w:val="20"/>
                <w:szCs w:val="20"/>
              </w:rPr>
            </w:pPr>
          </w:p>
          <w:p w:rsidR="0098430D" w:rsidRPr="00B07B3C" w:rsidRDefault="00961EDD" w:rsidP="006B7445">
            <w:pPr>
              <w:jc w:val="center"/>
              <w:rPr>
                <w:sz w:val="20"/>
                <w:szCs w:val="20"/>
              </w:rPr>
            </w:pPr>
            <w:r w:rsidRPr="00B07B3C">
              <w:rPr>
                <w:sz w:val="20"/>
                <w:szCs w:val="20"/>
              </w:rPr>
              <w:t>2.2</w:t>
            </w:r>
          </w:p>
          <w:p w:rsidR="00967EB6" w:rsidRPr="00B07B3C" w:rsidRDefault="00967EB6" w:rsidP="006B7445">
            <w:pPr>
              <w:jc w:val="center"/>
              <w:rPr>
                <w:b/>
                <w:sz w:val="20"/>
                <w:szCs w:val="20"/>
              </w:rPr>
            </w:pPr>
          </w:p>
          <w:p w:rsidR="00967EB6" w:rsidRPr="00B07B3C" w:rsidRDefault="00967EB6" w:rsidP="006B7445">
            <w:pPr>
              <w:jc w:val="center"/>
              <w:rPr>
                <w:b/>
                <w:sz w:val="20"/>
                <w:szCs w:val="20"/>
              </w:rPr>
            </w:pPr>
          </w:p>
          <w:p w:rsidR="00967EB6" w:rsidRPr="00B07B3C" w:rsidRDefault="00967EB6" w:rsidP="006B7445">
            <w:pPr>
              <w:jc w:val="center"/>
              <w:rPr>
                <w:b/>
                <w:sz w:val="20"/>
                <w:szCs w:val="20"/>
              </w:rPr>
            </w:pPr>
          </w:p>
          <w:p w:rsidR="00967EB6" w:rsidRPr="00B07B3C" w:rsidRDefault="00967EB6" w:rsidP="006B7445">
            <w:pPr>
              <w:jc w:val="center"/>
              <w:rPr>
                <w:b/>
                <w:sz w:val="20"/>
                <w:szCs w:val="20"/>
              </w:rPr>
            </w:pPr>
          </w:p>
          <w:p w:rsidR="00967EB6" w:rsidRPr="00B07B3C" w:rsidRDefault="00967EB6" w:rsidP="006B7445">
            <w:pPr>
              <w:jc w:val="center"/>
              <w:rPr>
                <w:b/>
                <w:sz w:val="20"/>
                <w:szCs w:val="20"/>
              </w:rPr>
            </w:pPr>
          </w:p>
        </w:tc>
        <w:tc>
          <w:tcPr>
            <w:tcW w:w="9809" w:type="dxa"/>
            <w:tcBorders>
              <w:top w:val="nil"/>
              <w:bottom w:val="nil"/>
            </w:tcBorders>
          </w:tcPr>
          <w:p w:rsidR="00CA7A8F" w:rsidRPr="00B07B3C" w:rsidRDefault="00822523" w:rsidP="00F828D3">
            <w:pPr>
              <w:pStyle w:val="ListParagraph"/>
              <w:ind w:left="0"/>
              <w:rPr>
                <w:sz w:val="20"/>
                <w:szCs w:val="20"/>
              </w:rPr>
            </w:pPr>
            <w:r w:rsidRPr="00B07B3C">
              <w:rPr>
                <w:sz w:val="20"/>
                <w:szCs w:val="20"/>
              </w:rPr>
              <w:t>Internal Audit provide an independent and objective opinion on the adequacy of the Council’s control environment, in order to do that Internal Audit review and provide an opinion on the level of assurance of the control environment within each area / system reviewed.  The level of assurance is based on the extent to which the system objectives are met, the effectiveness of controls operating within systems and resultant extent to which risks are mitigated</w:t>
            </w:r>
            <w:r w:rsidR="00877D4D" w:rsidRPr="00B07B3C">
              <w:rPr>
                <w:sz w:val="20"/>
                <w:szCs w:val="20"/>
              </w:rPr>
              <w:t>.</w:t>
            </w:r>
          </w:p>
          <w:p w:rsidR="00C224CE" w:rsidRPr="00B07B3C" w:rsidRDefault="00C224CE" w:rsidP="00F828D3">
            <w:pPr>
              <w:pStyle w:val="ListParagraph"/>
              <w:ind w:left="0"/>
              <w:rPr>
                <w:sz w:val="20"/>
                <w:szCs w:val="20"/>
              </w:rPr>
            </w:pPr>
          </w:p>
          <w:p w:rsidR="00CA7A8F" w:rsidRPr="00B07B3C" w:rsidRDefault="00CA7A8F" w:rsidP="00F828D3">
            <w:pPr>
              <w:pStyle w:val="ListParagraph"/>
              <w:ind w:left="0"/>
              <w:rPr>
                <w:sz w:val="20"/>
                <w:szCs w:val="20"/>
              </w:rPr>
            </w:pPr>
            <w:r w:rsidRPr="00B07B3C">
              <w:rPr>
                <w:sz w:val="20"/>
                <w:szCs w:val="20"/>
              </w:rPr>
              <w:t xml:space="preserve">The review focused primarily on computer controls within the Creditors systems and the adequacy and effectiveness of those controls.  Computer controls are the most robust form of controls as controls within systems are immovable and operate consistently, however, these controls rely on the effective set up of the system on implementation to ensure that the established controls are effective.  The review of the Creditors system and the specific controls within the system that have been tested has identified that there is a significant lack of key controls in those specific areas reviewed.  These weaknesses in control has resulted in </w:t>
            </w:r>
            <w:r w:rsidR="00C224CE" w:rsidRPr="00B07B3C">
              <w:rPr>
                <w:sz w:val="20"/>
                <w:szCs w:val="20"/>
              </w:rPr>
              <w:t xml:space="preserve">Financial Procedure Rules / Regulations not being complied with, as a consequence of this whilst the governance framework in place provides for adequate assurance in relation to the ordering, receipting and payment of goods the failure to ensure those controls are operating effectively within the Creditors system means that the controls provide </w:t>
            </w:r>
            <w:r w:rsidR="00C224CE" w:rsidRPr="00B07B3C">
              <w:rPr>
                <w:b/>
                <w:sz w:val="20"/>
                <w:szCs w:val="20"/>
              </w:rPr>
              <w:t xml:space="preserve">Limited Assurance </w:t>
            </w:r>
            <w:r w:rsidR="00C224CE" w:rsidRPr="00B07B3C">
              <w:rPr>
                <w:sz w:val="20"/>
                <w:szCs w:val="20"/>
              </w:rPr>
              <w:t>that the system objectives are met and risks are mitigated.</w:t>
            </w:r>
          </w:p>
          <w:p w:rsidR="00822523" w:rsidRPr="00B07B3C" w:rsidRDefault="00822523" w:rsidP="00F828D3">
            <w:pPr>
              <w:pStyle w:val="ListParagraph"/>
              <w:ind w:left="0"/>
              <w:rPr>
                <w:sz w:val="20"/>
                <w:szCs w:val="20"/>
              </w:rPr>
            </w:pPr>
          </w:p>
          <w:p w:rsidR="00F828D3" w:rsidRPr="00B07B3C" w:rsidRDefault="00C224CE" w:rsidP="00F828D3">
            <w:pPr>
              <w:pStyle w:val="ListParagraph"/>
              <w:ind w:left="0"/>
              <w:rPr>
                <w:sz w:val="20"/>
                <w:szCs w:val="20"/>
              </w:rPr>
            </w:pPr>
            <w:r w:rsidRPr="00B07B3C">
              <w:rPr>
                <w:sz w:val="20"/>
                <w:szCs w:val="20"/>
              </w:rPr>
              <w:t xml:space="preserve">This in </w:t>
            </w:r>
            <w:r w:rsidR="00981D1A" w:rsidRPr="00B07B3C">
              <w:rPr>
                <w:sz w:val="20"/>
                <w:szCs w:val="20"/>
              </w:rPr>
              <w:t>effect increases</w:t>
            </w:r>
            <w:r w:rsidR="00B0676D" w:rsidRPr="00B07B3C">
              <w:rPr>
                <w:sz w:val="20"/>
                <w:szCs w:val="20"/>
              </w:rPr>
              <w:t xml:space="preserve"> both Council’s risk exposure to</w:t>
            </w:r>
            <w:r w:rsidR="00D02E1D" w:rsidRPr="00B07B3C">
              <w:rPr>
                <w:sz w:val="20"/>
                <w:szCs w:val="20"/>
              </w:rPr>
              <w:t xml:space="preserve"> </w:t>
            </w:r>
            <w:r w:rsidRPr="00B07B3C">
              <w:rPr>
                <w:sz w:val="20"/>
                <w:szCs w:val="20"/>
              </w:rPr>
              <w:t xml:space="preserve">issues relating to </w:t>
            </w:r>
            <w:r w:rsidR="00D02E1D" w:rsidRPr="00B07B3C">
              <w:rPr>
                <w:sz w:val="20"/>
                <w:szCs w:val="20"/>
              </w:rPr>
              <w:t>budget overspend, error and fraud</w:t>
            </w:r>
            <w:r w:rsidRPr="00B07B3C">
              <w:rPr>
                <w:sz w:val="20"/>
                <w:szCs w:val="20"/>
              </w:rPr>
              <w:t>.</w:t>
            </w:r>
          </w:p>
          <w:p w:rsidR="00A35271" w:rsidRPr="00B07B3C" w:rsidRDefault="00A35271" w:rsidP="00877D4D">
            <w:pPr>
              <w:rPr>
                <w:sz w:val="20"/>
                <w:szCs w:val="20"/>
              </w:rPr>
            </w:pPr>
          </w:p>
        </w:tc>
      </w:tr>
      <w:tr w:rsidR="00870F9F" w:rsidRPr="006A0EC0" w:rsidTr="003A0DBA">
        <w:tc>
          <w:tcPr>
            <w:tcW w:w="964" w:type="dxa"/>
            <w:tcBorders>
              <w:top w:val="nil"/>
              <w:bottom w:val="single" w:sz="4" w:space="0" w:color="auto"/>
            </w:tcBorders>
          </w:tcPr>
          <w:p w:rsidR="00870F9F" w:rsidRPr="00F31D31" w:rsidRDefault="00870F9F" w:rsidP="00961EDD">
            <w:pPr>
              <w:jc w:val="center"/>
              <w:rPr>
                <w:sz w:val="20"/>
                <w:szCs w:val="20"/>
              </w:rPr>
            </w:pPr>
            <w:r>
              <w:rPr>
                <w:sz w:val="20"/>
                <w:szCs w:val="20"/>
              </w:rPr>
              <w:t>2.</w:t>
            </w:r>
            <w:r w:rsidR="00961EDD">
              <w:rPr>
                <w:sz w:val="20"/>
                <w:szCs w:val="20"/>
              </w:rPr>
              <w:t>3</w:t>
            </w:r>
          </w:p>
        </w:tc>
        <w:tc>
          <w:tcPr>
            <w:tcW w:w="9809" w:type="dxa"/>
            <w:tcBorders>
              <w:top w:val="nil"/>
              <w:bottom w:val="single" w:sz="4" w:space="0" w:color="auto"/>
            </w:tcBorders>
          </w:tcPr>
          <w:p w:rsidR="00870F9F" w:rsidRDefault="00870F9F" w:rsidP="00870F9F">
            <w:pPr>
              <w:spacing w:after="200" w:line="276" w:lineRule="auto"/>
              <w:contextualSpacing/>
              <w:rPr>
                <w:rFonts w:eastAsiaTheme="minorHAnsi" w:cs="Arial"/>
                <w:b/>
                <w:sz w:val="20"/>
                <w:szCs w:val="20"/>
              </w:rPr>
            </w:pPr>
            <w:r w:rsidRPr="0065650A">
              <w:rPr>
                <w:rFonts w:eastAsiaTheme="minorHAnsi" w:cs="Arial"/>
                <w:b/>
                <w:sz w:val="20"/>
                <w:szCs w:val="20"/>
              </w:rPr>
              <w:t>Control Rating</w:t>
            </w:r>
            <w:r>
              <w:rPr>
                <w:rFonts w:eastAsiaTheme="minorHAnsi" w:cs="Arial"/>
                <w:b/>
                <w:sz w:val="20"/>
                <w:szCs w:val="20"/>
              </w:rPr>
              <w:t xml:space="preserve"> Key</w:t>
            </w:r>
          </w:p>
          <w:p w:rsidR="00986E54" w:rsidRDefault="00986E54" w:rsidP="00870F9F">
            <w:pPr>
              <w:spacing w:after="200" w:line="276" w:lineRule="auto"/>
              <w:contextualSpacing/>
              <w:rPr>
                <w:rFonts w:eastAsiaTheme="minorHAnsi" w:cs="Arial"/>
                <w:b/>
                <w:sz w:val="20"/>
                <w:szCs w:val="20"/>
              </w:rPr>
            </w:pPr>
            <w:r w:rsidRPr="00161C45">
              <w:rPr>
                <w:rFonts w:eastAsiaTheme="minorHAnsi" w:cs="Arial"/>
                <w:b/>
                <w:iCs/>
                <w:sz w:val="18"/>
                <w:szCs w:val="18"/>
              </w:rPr>
              <w:t xml:space="preserve">Full – </w:t>
            </w:r>
            <w:r w:rsidRPr="00161C45">
              <w:rPr>
                <w:rFonts w:eastAsiaTheme="minorHAnsi" w:cs="Arial"/>
                <w:iCs/>
                <w:sz w:val="18"/>
                <w:szCs w:val="18"/>
              </w:rPr>
              <w:t>the Authority can place complete reliance on the controls.  No control weaknesses exist.</w:t>
            </w:r>
          </w:p>
          <w:p w:rsidR="00986E54" w:rsidRDefault="00986E54" w:rsidP="00870F9F">
            <w:pPr>
              <w:spacing w:after="200" w:line="276" w:lineRule="auto"/>
              <w:contextualSpacing/>
              <w:rPr>
                <w:rFonts w:eastAsiaTheme="minorHAnsi" w:cs="Arial"/>
                <w:b/>
                <w:sz w:val="20"/>
                <w:szCs w:val="20"/>
              </w:rPr>
            </w:pPr>
            <w:r w:rsidRPr="00161C45">
              <w:rPr>
                <w:rFonts w:eastAsiaTheme="minorHAnsi" w:cs="Arial"/>
                <w:b/>
                <w:sz w:val="18"/>
                <w:szCs w:val="18"/>
                <w:lang w:val="en-US"/>
              </w:rPr>
              <w:t>Substantial</w:t>
            </w:r>
            <w:r w:rsidRPr="00161C45">
              <w:rPr>
                <w:rFonts w:eastAsiaTheme="minorHAnsi" w:cs="Arial"/>
                <w:sz w:val="18"/>
                <w:szCs w:val="18"/>
                <w:lang w:val="en-US"/>
              </w:rPr>
              <w:t xml:space="preserve"> - </w:t>
            </w:r>
            <w:r w:rsidRPr="00161C45">
              <w:rPr>
                <w:rFonts w:eastAsiaTheme="minorHAnsi" w:cs="Arial"/>
                <w:iCs/>
                <w:sz w:val="18"/>
                <w:szCs w:val="18"/>
              </w:rPr>
              <w:t>the Authority can place sufficient reliance on the controls. Only minor control weaknesses exist.</w:t>
            </w:r>
          </w:p>
          <w:p w:rsidR="00986E54" w:rsidRDefault="00986E54" w:rsidP="00986E54">
            <w:pPr>
              <w:spacing w:after="200" w:line="276" w:lineRule="auto"/>
              <w:contextualSpacing/>
              <w:rPr>
                <w:rFonts w:eastAsiaTheme="minorHAnsi" w:cs="Arial"/>
                <w:iCs/>
                <w:sz w:val="18"/>
                <w:szCs w:val="18"/>
              </w:rPr>
            </w:pPr>
            <w:r w:rsidRPr="00161C45">
              <w:rPr>
                <w:rFonts w:eastAsiaTheme="minorHAnsi" w:cs="Arial"/>
                <w:b/>
                <w:sz w:val="18"/>
                <w:szCs w:val="18"/>
                <w:lang w:val="en-US"/>
              </w:rPr>
              <w:t>Adequate</w:t>
            </w:r>
            <w:r w:rsidRPr="00161C45">
              <w:rPr>
                <w:rFonts w:eastAsiaTheme="minorHAnsi" w:cs="Arial"/>
                <w:sz w:val="18"/>
                <w:szCs w:val="18"/>
                <w:lang w:val="en-US"/>
              </w:rPr>
              <w:t xml:space="preserve"> -</w:t>
            </w:r>
            <w:r w:rsidRPr="00161C45">
              <w:rPr>
                <w:rFonts w:eastAsiaTheme="minorHAnsi" w:cs="Arial"/>
                <w:iCs/>
                <w:sz w:val="18"/>
                <w:szCs w:val="18"/>
              </w:rPr>
              <w:t xml:space="preserve"> the Authority can place only partial reliance on the controls.  Some control issues need to be resolved. </w:t>
            </w:r>
          </w:p>
          <w:p w:rsidR="00870F9F" w:rsidRPr="00986E54" w:rsidRDefault="00870F9F" w:rsidP="00870F9F">
            <w:pPr>
              <w:spacing w:after="200" w:line="276" w:lineRule="auto"/>
              <w:contextualSpacing/>
              <w:rPr>
                <w:rFonts w:eastAsiaTheme="minorHAnsi" w:cs="Arial"/>
                <w:iCs/>
                <w:sz w:val="18"/>
                <w:szCs w:val="18"/>
              </w:rPr>
            </w:pPr>
            <w:r w:rsidRPr="00161C45">
              <w:rPr>
                <w:rFonts w:eastAsiaTheme="minorHAnsi" w:cs="Arial"/>
                <w:b/>
                <w:sz w:val="18"/>
                <w:szCs w:val="18"/>
                <w:lang w:val="en-US"/>
              </w:rPr>
              <w:t>Limited</w:t>
            </w:r>
            <w:r w:rsidRPr="00161C45">
              <w:rPr>
                <w:rFonts w:eastAsiaTheme="minorHAnsi" w:cs="Arial"/>
                <w:iCs/>
                <w:sz w:val="18"/>
                <w:szCs w:val="18"/>
              </w:rPr>
              <w:t xml:space="preserve"> - the Authority cannot place sufficient reliance on the controls.  Substantive control weaknesses exist</w:t>
            </w:r>
          </w:p>
        </w:tc>
      </w:tr>
    </w:tbl>
    <w:p w:rsidR="00A003FE" w:rsidRDefault="00A003FE" w:rsidP="00B13CA7">
      <w:pPr>
        <w:pStyle w:val="Header"/>
      </w:pPr>
    </w:p>
    <w:tbl>
      <w:tblPr>
        <w:tblW w:w="10773" w:type="dxa"/>
        <w:tblInd w:w="-5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64"/>
        <w:gridCol w:w="9809"/>
      </w:tblGrid>
      <w:tr w:rsidR="00D93DD8" w:rsidRPr="00D02E1D" w:rsidTr="00B07B3C">
        <w:tc>
          <w:tcPr>
            <w:tcW w:w="964" w:type="dxa"/>
            <w:tcBorders>
              <w:bottom w:val="single" w:sz="6" w:space="0" w:color="auto"/>
            </w:tcBorders>
            <w:shd w:val="clear" w:color="auto" w:fill="B8CCE4" w:themeFill="accent1" w:themeFillTint="66"/>
          </w:tcPr>
          <w:p w:rsidR="00D93DD8" w:rsidRPr="00D02E1D" w:rsidRDefault="00D93DD8" w:rsidP="004E75E8">
            <w:pPr>
              <w:jc w:val="center"/>
              <w:rPr>
                <w:rFonts w:cs="Arial"/>
                <w:b/>
                <w:sz w:val="20"/>
                <w:szCs w:val="20"/>
              </w:rPr>
            </w:pPr>
            <w:r w:rsidRPr="00D02E1D">
              <w:rPr>
                <w:rFonts w:cs="Arial"/>
                <w:sz w:val="20"/>
                <w:szCs w:val="20"/>
              </w:rPr>
              <w:br w:type="page"/>
            </w:r>
            <w:r w:rsidRPr="00D02E1D">
              <w:rPr>
                <w:rFonts w:cs="Arial"/>
                <w:b/>
                <w:sz w:val="20"/>
                <w:szCs w:val="20"/>
              </w:rPr>
              <w:t>3</w:t>
            </w:r>
          </w:p>
        </w:tc>
        <w:tc>
          <w:tcPr>
            <w:tcW w:w="9809" w:type="dxa"/>
            <w:tcBorders>
              <w:bottom w:val="single" w:sz="6" w:space="0" w:color="auto"/>
            </w:tcBorders>
            <w:shd w:val="clear" w:color="auto" w:fill="B8CCE4" w:themeFill="accent1" w:themeFillTint="66"/>
          </w:tcPr>
          <w:p w:rsidR="00D93DD8" w:rsidRPr="00D02E1D" w:rsidRDefault="00D93DD8" w:rsidP="004E75E8">
            <w:pPr>
              <w:rPr>
                <w:rFonts w:cs="Arial"/>
                <w:b/>
                <w:sz w:val="20"/>
                <w:szCs w:val="20"/>
              </w:rPr>
            </w:pPr>
            <w:r w:rsidRPr="00D02E1D">
              <w:rPr>
                <w:rFonts w:cs="Arial"/>
                <w:b/>
                <w:sz w:val="20"/>
                <w:szCs w:val="20"/>
              </w:rPr>
              <w:t>KEY FINDINGS</w:t>
            </w:r>
          </w:p>
        </w:tc>
      </w:tr>
      <w:tr w:rsidR="00D93DD8" w:rsidRPr="00D02E1D" w:rsidTr="00B07B3C">
        <w:trPr>
          <w:trHeight w:val="517"/>
        </w:trPr>
        <w:tc>
          <w:tcPr>
            <w:tcW w:w="964" w:type="dxa"/>
            <w:tcBorders>
              <w:top w:val="single" w:sz="6" w:space="0" w:color="auto"/>
              <w:bottom w:val="single" w:sz="4" w:space="0" w:color="auto"/>
            </w:tcBorders>
            <w:tcMar>
              <w:top w:w="72" w:type="dxa"/>
              <w:left w:w="115" w:type="dxa"/>
              <w:right w:w="115" w:type="dxa"/>
            </w:tcMar>
          </w:tcPr>
          <w:p w:rsidR="00D93DD8" w:rsidRDefault="00D93DD8" w:rsidP="004E75E8">
            <w:pPr>
              <w:jc w:val="center"/>
              <w:rPr>
                <w:rFonts w:cs="Arial"/>
                <w:sz w:val="20"/>
                <w:szCs w:val="20"/>
              </w:rPr>
            </w:pPr>
            <w:r w:rsidRPr="00D02E1D">
              <w:rPr>
                <w:rFonts w:cs="Arial"/>
                <w:sz w:val="20"/>
                <w:szCs w:val="20"/>
              </w:rPr>
              <w:t>3.1</w:t>
            </w:r>
          </w:p>
          <w:p w:rsidR="00877D4D" w:rsidRDefault="00877D4D" w:rsidP="004E75E8">
            <w:pPr>
              <w:jc w:val="center"/>
              <w:rPr>
                <w:rFonts w:cs="Arial"/>
                <w:sz w:val="20"/>
                <w:szCs w:val="20"/>
              </w:rPr>
            </w:pPr>
          </w:p>
          <w:p w:rsidR="00877D4D" w:rsidRDefault="00877D4D" w:rsidP="004E75E8">
            <w:pPr>
              <w:jc w:val="center"/>
              <w:rPr>
                <w:rFonts w:cs="Arial"/>
                <w:sz w:val="20"/>
                <w:szCs w:val="20"/>
              </w:rPr>
            </w:pPr>
          </w:p>
          <w:p w:rsidR="00877D4D" w:rsidRPr="00D02E1D" w:rsidRDefault="00877D4D" w:rsidP="00B07B3C">
            <w:pPr>
              <w:jc w:val="center"/>
              <w:rPr>
                <w:rFonts w:cs="Arial"/>
                <w:sz w:val="20"/>
                <w:szCs w:val="20"/>
              </w:rPr>
            </w:pPr>
          </w:p>
        </w:tc>
        <w:tc>
          <w:tcPr>
            <w:tcW w:w="9809" w:type="dxa"/>
            <w:tcBorders>
              <w:top w:val="single" w:sz="6" w:space="0" w:color="auto"/>
              <w:bottom w:val="single" w:sz="4" w:space="0" w:color="auto"/>
            </w:tcBorders>
            <w:tcMar>
              <w:top w:w="72" w:type="dxa"/>
              <w:left w:w="115" w:type="dxa"/>
              <w:right w:w="115" w:type="dxa"/>
            </w:tcMar>
          </w:tcPr>
          <w:p w:rsidR="00D93DD8" w:rsidRPr="00877D4D" w:rsidRDefault="00EE4EFB" w:rsidP="007D0650">
            <w:pPr>
              <w:rPr>
                <w:rFonts w:cs="Arial"/>
                <w:color w:val="000000" w:themeColor="text1"/>
                <w:sz w:val="20"/>
                <w:szCs w:val="20"/>
              </w:rPr>
            </w:pPr>
            <w:r>
              <w:rPr>
                <w:rFonts w:cs="Arial"/>
                <w:color w:val="000000" w:themeColor="text1"/>
                <w:sz w:val="20"/>
                <w:szCs w:val="20"/>
              </w:rPr>
              <w:t xml:space="preserve">This Creditors system which provides the Procure to Pay process for both South Ribble and Chorley Council’s is a Key Financial System for the Council and as </w:t>
            </w:r>
            <w:r w:rsidR="00981D1A">
              <w:rPr>
                <w:rFonts w:cs="Arial"/>
                <w:color w:val="000000" w:themeColor="text1"/>
                <w:sz w:val="20"/>
                <w:szCs w:val="20"/>
              </w:rPr>
              <w:t>such robust</w:t>
            </w:r>
            <w:r w:rsidR="000A7833">
              <w:rPr>
                <w:rFonts w:cs="Arial"/>
                <w:color w:val="000000" w:themeColor="text1"/>
                <w:sz w:val="20"/>
                <w:szCs w:val="20"/>
              </w:rPr>
              <w:t xml:space="preserve"> </w:t>
            </w:r>
            <w:r w:rsidR="00981D1A">
              <w:rPr>
                <w:rFonts w:cs="Arial"/>
                <w:color w:val="000000" w:themeColor="text1"/>
                <w:sz w:val="20"/>
                <w:szCs w:val="20"/>
              </w:rPr>
              <w:t>controls must be</w:t>
            </w:r>
            <w:r w:rsidR="000A7833">
              <w:rPr>
                <w:rFonts w:cs="Arial"/>
                <w:color w:val="000000" w:themeColor="text1"/>
                <w:sz w:val="20"/>
                <w:szCs w:val="20"/>
              </w:rPr>
              <w:t xml:space="preserve"> </w:t>
            </w:r>
            <w:r>
              <w:rPr>
                <w:rFonts w:cs="Arial"/>
                <w:color w:val="000000" w:themeColor="text1"/>
                <w:sz w:val="20"/>
                <w:szCs w:val="20"/>
              </w:rPr>
              <w:t xml:space="preserve">embedded in the system in order to provide an appropriate governance framework and to prevent material misstatement, fraud error and prevent staff acting beyond their delegated </w:t>
            </w:r>
            <w:r w:rsidR="007D0650">
              <w:rPr>
                <w:rFonts w:cs="Arial"/>
                <w:color w:val="000000" w:themeColor="text1"/>
                <w:sz w:val="20"/>
                <w:szCs w:val="20"/>
              </w:rPr>
              <w:t>authority</w:t>
            </w:r>
            <w:r>
              <w:rPr>
                <w:rFonts w:cs="Arial"/>
                <w:color w:val="000000" w:themeColor="text1"/>
                <w:sz w:val="20"/>
                <w:szCs w:val="20"/>
              </w:rPr>
              <w:t xml:space="preserve">. The system must also ensure that controls in place provide for assurance that the Council’s Financial Procedure Rules / Regulations will be complied </w:t>
            </w:r>
            <w:r w:rsidR="00981D1A">
              <w:rPr>
                <w:rFonts w:cs="Arial"/>
                <w:color w:val="000000" w:themeColor="text1"/>
                <w:sz w:val="20"/>
                <w:szCs w:val="20"/>
              </w:rPr>
              <w:t>with.</w:t>
            </w:r>
            <w:r w:rsidR="000A7833">
              <w:rPr>
                <w:rFonts w:cs="Arial"/>
                <w:color w:val="000000" w:themeColor="text1"/>
                <w:sz w:val="20"/>
                <w:szCs w:val="20"/>
              </w:rPr>
              <w:t xml:space="preserve">  </w:t>
            </w:r>
          </w:p>
        </w:tc>
      </w:tr>
      <w:tr w:rsidR="00B07B3C" w:rsidRPr="00D02E1D" w:rsidTr="00B07B3C">
        <w:trPr>
          <w:trHeight w:val="517"/>
        </w:trPr>
        <w:tc>
          <w:tcPr>
            <w:tcW w:w="964" w:type="dxa"/>
            <w:tcBorders>
              <w:top w:val="single" w:sz="4" w:space="0" w:color="auto"/>
              <w:bottom w:val="nil"/>
            </w:tcBorders>
          </w:tcPr>
          <w:p w:rsidR="00B07B3C" w:rsidRDefault="00B07B3C" w:rsidP="00877D4D">
            <w:pPr>
              <w:jc w:val="center"/>
              <w:rPr>
                <w:rFonts w:cs="Arial"/>
                <w:sz w:val="20"/>
                <w:szCs w:val="20"/>
              </w:rPr>
            </w:pPr>
            <w:r>
              <w:rPr>
                <w:rFonts w:cs="Arial"/>
                <w:sz w:val="20"/>
                <w:szCs w:val="20"/>
              </w:rPr>
              <w:lastRenderedPageBreak/>
              <w:t>3.2</w:t>
            </w:r>
          </w:p>
          <w:p w:rsidR="00B07B3C" w:rsidRDefault="00B07B3C" w:rsidP="00877D4D">
            <w:pPr>
              <w:jc w:val="center"/>
              <w:rPr>
                <w:rFonts w:cs="Arial"/>
                <w:sz w:val="20"/>
                <w:szCs w:val="20"/>
              </w:rPr>
            </w:pPr>
          </w:p>
          <w:p w:rsidR="00B07B3C" w:rsidRDefault="00B07B3C" w:rsidP="00877D4D">
            <w:pPr>
              <w:jc w:val="center"/>
              <w:rPr>
                <w:rFonts w:cs="Arial"/>
                <w:sz w:val="20"/>
                <w:szCs w:val="20"/>
              </w:rPr>
            </w:pPr>
          </w:p>
          <w:p w:rsidR="00B07B3C" w:rsidRDefault="00B07B3C" w:rsidP="00877D4D">
            <w:pPr>
              <w:jc w:val="center"/>
              <w:rPr>
                <w:rFonts w:cs="Arial"/>
                <w:sz w:val="20"/>
                <w:szCs w:val="20"/>
              </w:rPr>
            </w:pPr>
          </w:p>
          <w:p w:rsidR="00B07B3C" w:rsidRDefault="00B07B3C" w:rsidP="00877D4D">
            <w:pPr>
              <w:jc w:val="center"/>
              <w:rPr>
                <w:rFonts w:cs="Arial"/>
                <w:sz w:val="20"/>
                <w:szCs w:val="20"/>
              </w:rPr>
            </w:pPr>
            <w:r>
              <w:rPr>
                <w:rFonts w:cs="Arial"/>
                <w:sz w:val="20"/>
                <w:szCs w:val="20"/>
              </w:rPr>
              <w:t>3.3</w:t>
            </w:r>
          </w:p>
          <w:p w:rsidR="00B07B3C" w:rsidRDefault="00B07B3C" w:rsidP="00877D4D">
            <w:pPr>
              <w:jc w:val="center"/>
              <w:rPr>
                <w:rFonts w:cs="Arial"/>
                <w:sz w:val="20"/>
                <w:szCs w:val="20"/>
              </w:rPr>
            </w:pPr>
          </w:p>
          <w:p w:rsidR="00B07B3C" w:rsidRDefault="00B07B3C" w:rsidP="00877D4D">
            <w:pPr>
              <w:jc w:val="center"/>
              <w:rPr>
                <w:rFonts w:cs="Arial"/>
                <w:sz w:val="20"/>
                <w:szCs w:val="20"/>
              </w:rPr>
            </w:pPr>
          </w:p>
          <w:p w:rsidR="00B07B3C" w:rsidRDefault="00B07B3C" w:rsidP="00877D4D">
            <w:pPr>
              <w:jc w:val="center"/>
              <w:rPr>
                <w:rFonts w:cs="Arial"/>
                <w:sz w:val="20"/>
                <w:szCs w:val="20"/>
              </w:rPr>
            </w:pPr>
          </w:p>
          <w:p w:rsidR="00B07B3C" w:rsidRDefault="00B07B3C" w:rsidP="00877D4D">
            <w:pPr>
              <w:jc w:val="center"/>
              <w:rPr>
                <w:rFonts w:cs="Arial"/>
                <w:sz w:val="20"/>
                <w:szCs w:val="20"/>
              </w:rPr>
            </w:pPr>
          </w:p>
          <w:p w:rsidR="00B07B3C" w:rsidRDefault="00B07B3C" w:rsidP="00877D4D">
            <w:pPr>
              <w:jc w:val="center"/>
              <w:rPr>
                <w:rFonts w:cs="Arial"/>
                <w:sz w:val="20"/>
                <w:szCs w:val="20"/>
              </w:rPr>
            </w:pPr>
          </w:p>
          <w:p w:rsidR="00B07B3C" w:rsidRDefault="00B07B3C" w:rsidP="00877D4D">
            <w:pPr>
              <w:jc w:val="center"/>
              <w:rPr>
                <w:rFonts w:cs="Arial"/>
                <w:sz w:val="20"/>
                <w:szCs w:val="20"/>
              </w:rPr>
            </w:pPr>
          </w:p>
          <w:p w:rsidR="00B07B3C" w:rsidRDefault="00B07B3C" w:rsidP="00877D4D">
            <w:pPr>
              <w:jc w:val="center"/>
              <w:rPr>
                <w:rFonts w:cs="Arial"/>
                <w:sz w:val="20"/>
                <w:szCs w:val="20"/>
              </w:rPr>
            </w:pPr>
            <w:r>
              <w:rPr>
                <w:rFonts w:cs="Arial"/>
                <w:sz w:val="20"/>
                <w:szCs w:val="20"/>
              </w:rPr>
              <w:t>3.4</w:t>
            </w:r>
          </w:p>
          <w:p w:rsidR="00B07B3C" w:rsidRDefault="00B07B3C" w:rsidP="00877D4D">
            <w:pPr>
              <w:jc w:val="center"/>
              <w:rPr>
                <w:rFonts w:cs="Arial"/>
                <w:sz w:val="20"/>
                <w:szCs w:val="20"/>
              </w:rPr>
            </w:pPr>
          </w:p>
          <w:p w:rsidR="00B07B3C" w:rsidRDefault="00B07B3C" w:rsidP="00877D4D">
            <w:pPr>
              <w:jc w:val="center"/>
              <w:rPr>
                <w:rFonts w:cs="Arial"/>
                <w:sz w:val="20"/>
                <w:szCs w:val="20"/>
              </w:rPr>
            </w:pPr>
          </w:p>
          <w:p w:rsidR="00B07B3C" w:rsidRDefault="00B07B3C" w:rsidP="00877D4D">
            <w:pPr>
              <w:jc w:val="center"/>
              <w:rPr>
                <w:rFonts w:cs="Arial"/>
                <w:sz w:val="20"/>
                <w:szCs w:val="20"/>
              </w:rPr>
            </w:pPr>
          </w:p>
          <w:p w:rsidR="00B07B3C" w:rsidRDefault="00B07B3C" w:rsidP="0015447E">
            <w:pPr>
              <w:rPr>
                <w:rFonts w:cs="Arial"/>
                <w:sz w:val="20"/>
                <w:szCs w:val="20"/>
              </w:rPr>
            </w:pPr>
          </w:p>
          <w:p w:rsidR="00B07B3C" w:rsidRPr="00D02E1D" w:rsidRDefault="00B07B3C" w:rsidP="0015447E">
            <w:pPr>
              <w:rPr>
                <w:rFonts w:cs="Arial"/>
                <w:sz w:val="20"/>
                <w:szCs w:val="20"/>
              </w:rPr>
            </w:pPr>
          </w:p>
        </w:tc>
        <w:tc>
          <w:tcPr>
            <w:tcW w:w="9809" w:type="dxa"/>
            <w:tcBorders>
              <w:top w:val="single" w:sz="4" w:space="0" w:color="auto"/>
              <w:bottom w:val="nil"/>
            </w:tcBorders>
          </w:tcPr>
          <w:p w:rsidR="00B07B3C" w:rsidRDefault="00B07B3C" w:rsidP="00B07B3C">
            <w:pPr>
              <w:rPr>
                <w:rFonts w:cs="Arial"/>
                <w:color w:val="000000" w:themeColor="text1"/>
                <w:sz w:val="20"/>
                <w:szCs w:val="20"/>
              </w:rPr>
            </w:pPr>
            <w:r>
              <w:rPr>
                <w:rFonts w:cs="Arial"/>
                <w:color w:val="000000" w:themeColor="text1"/>
                <w:sz w:val="20"/>
                <w:szCs w:val="20"/>
              </w:rPr>
              <w:t>Testing has identified that whilst some controls are in place within the Creditors system (</w:t>
            </w:r>
            <w:proofErr w:type="spellStart"/>
            <w:r>
              <w:rPr>
                <w:rFonts w:cs="Arial"/>
                <w:color w:val="000000" w:themeColor="text1"/>
                <w:sz w:val="20"/>
                <w:szCs w:val="20"/>
              </w:rPr>
              <w:t>Civica</w:t>
            </w:r>
            <w:proofErr w:type="spellEnd"/>
            <w:r>
              <w:rPr>
                <w:rFonts w:cs="Arial"/>
                <w:color w:val="000000" w:themeColor="text1"/>
                <w:sz w:val="20"/>
                <w:szCs w:val="20"/>
              </w:rPr>
              <w:t xml:space="preserve">) there are a number of controls which allow for the potential of fraud, error and or allow staff potentially to act beyond their delegated </w:t>
            </w:r>
            <w:r w:rsidR="007D0650">
              <w:rPr>
                <w:rFonts w:cs="Arial"/>
                <w:color w:val="000000" w:themeColor="text1"/>
                <w:sz w:val="20"/>
                <w:szCs w:val="20"/>
              </w:rPr>
              <w:t>authority</w:t>
            </w:r>
            <w:r>
              <w:rPr>
                <w:rFonts w:cs="Arial"/>
                <w:color w:val="000000" w:themeColor="text1"/>
                <w:sz w:val="20"/>
                <w:szCs w:val="20"/>
              </w:rPr>
              <w:t>, including the issues outlined below.</w:t>
            </w:r>
          </w:p>
          <w:p w:rsidR="00B07B3C" w:rsidRDefault="00B07B3C" w:rsidP="00B07B3C">
            <w:pPr>
              <w:rPr>
                <w:rFonts w:cs="Arial"/>
                <w:color w:val="000000" w:themeColor="text1"/>
                <w:sz w:val="20"/>
                <w:szCs w:val="20"/>
              </w:rPr>
            </w:pPr>
          </w:p>
          <w:p w:rsidR="00B07B3C" w:rsidRDefault="00B07B3C" w:rsidP="00B07B3C">
            <w:pPr>
              <w:rPr>
                <w:rFonts w:cs="Arial"/>
                <w:color w:val="000000" w:themeColor="text1"/>
                <w:sz w:val="20"/>
                <w:szCs w:val="20"/>
              </w:rPr>
            </w:pPr>
            <w:r>
              <w:rPr>
                <w:rFonts w:cs="Arial"/>
                <w:color w:val="000000" w:themeColor="text1"/>
                <w:sz w:val="20"/>
                <w:szCs w:val="20"/>
              </w:rPr>
              <w:t>Allowing the receipting of goods and the payment of invoices, without referral to another authoriser for values greater than the Purchase Order Value.  This facility leaves the Council open to potential risk of fraud, whereby goods could be ordered over and above the agreed purchase required, it could result in officers acting beyond their delegated limits either deliberately or accidental and could result in overspend of budgets or exceeding budget limits. This is quite clearly a breach of Financial Procedure Rules / Regulations.</w:t>
            </w:r>
            <w:r>
              <w:rPr>
                <w:rFonts w:cs="Arial"/>
                <w:color w:val="000000" w:themeColor="text1"/>
                <w:sz w:val="20"/>
                <w:szCs w:val="20"/>
              </w:rPr>
              <w:br/>
            </w:r>
          </w:p>
          <w:p w:rsidR="00B07B3C" w:rsidRPr="00D02E1D" w:rsidRDefault="00B07B3C" w:rsidP="0015447E">
            <w:pPr>
              <w:rPr>
                <w:rFonts w:cs="Arial"/>
                <w:color w:val="000000" w:themeColor="text1"/>
                <w:sz w:val="20"/>
                <w:szCs w:val="20"/>
              </w:rPr>
            </w:pPr>
            <w:r>
              <w:rPr>
                <w:rFonts w:cs="Arial"/>
                <w:color w:val="000000" w:themeColor="text1"/>
                <w:sz w:val="20"/>
                <w:szCs w:val="20"/>
              </w:rPr>
              <w:t>Further substantive work is required to determine the value of the potential issue for both Councils, however, based on the sample of invoices reviewed, the values are SRBC £</w:t>
            </w:r>
            <w:r w:rsidR="00783191">
              <w:rPr>
                <w:rFonts w:cs="Arial"/>
                <w:color w:val="000000" w:themeColor="text1"/>
                <w:sz w:val="20"/>
                <w:szCs w:val="20"/>
              </w:rPr>
              <w:t xml:space="preserve">53979 </w:t>
            </w:r>
            <w:r>
              <w:rPr>
                <w:rFonts w:cs="Arial"/>
                <w:color w:val="000000" w:themeColor="text1"/>
                <w:sz w:val="20"/>
                <w:szCs w:val="20"/>
              </w:rPr>
              <w:t>more paid on invoices than ordered and CBC £1947</w:t>
            </w:r>
            <w:r w:rsidR="007159DD">
              <w:rPr>
                <w:rFonts w:cs="Arial"/>
                <w:color w:val="000000" w:themeColor="text1"/>
                <w:sz w:val="20"/>
                <w:szCs w:val="20"/>
              </w:rPr>
              <w:t>9</w:t>
            </w:r>
            <w:r>
              <w:rPr>
                <w:rFonts w:cs="Arial"/>
                <w:color w:val="000000" w:themeColor="text1"/>
                <w:sz w:val="20"/>
                <w:szCs w:val="20"/>
              </w:rPr>
              <w:t xml:space="preserve"> more paid on invoices than ordered</w:t>
            </w:r>
            <w:r w:rsidR="00DA7189">
              <w:rPr>
                <w:rFonts w:cs="Arial"/>
                <w:color w:val="000000" w:themeColor="text1"/>
                <w:sz w:val="20"/>
                <w:szCs w:val="20"/>
              </w:rPr>
              <w:t xml:space="preserve">.  </w:t>
            </w:r>
            <w:r w:rsidR="00783191">
              <w:rPr>
                <w:rFonts w:cs="Arial"/>
                <w:color w:val="000000" w:themeColor="text1"/>
                <w:sz w:val="20"/>
                <w:szCs w:val="20"/>
              </w:rPr>
              <w:t xml:space="preserve">The </w:t>
            </w:r>
            <w:r w:rsidR="007159DD">
              <w:rPr>
                <w:rFonts w:cs="Arial"/>
                <w:color w:val="000000" w:themeColor="text1"/>
                <w:sz w:val="20"/>
                <w:szCs w:val="20"/>
              </w:rPr>
              <w:t xml:space="preserve">table </w:t>
            </w:r>
            <w:r w:rsidR="0015447E">
              <w:rPr>
                <w:rFonts w:cs="Arial"/>
                <w:color w:val="000000" w:themeColor="text1"/>
                <w:sz w:val="20"/>
                <w:szCs w:val="20"/>
              </w:rPr>
              <w:t xml:space="preserve">in appendix 1 </w:t>
            </w:r>
            <w:r w:rsidR="00783191">
              <w:rPr>
                <w:rFonts w:cs="Arial"/>
                <w:color w:val="000000" w:themeColor="text1"/>
                <w:sz w:val="20"/>
                <w:szCs w:val="20"/>
              </w:rPr>
              <w:t>provides a</w:t>
            </w:r>
            <w:r w:rsidR="00D44FCC">
              <w:rPr>
                <w:rFonts w:cs="Arial"/>
                <w:color w:val="000000" w:themeColor="text1"/>
                <w:sz w:val="20"/>
                <w:szCs w:val="20"/>
              </w:rPr>
              <w:t xml:space="preserve"> summary</w:t>
            </w:r>
            <w:r w:rsidR="00783191">
              <w:rPr>
                <w:rFonts w:cs="Arial"/>
                <w:color w:val="000000" w:themeColor="text1"/>
                <w:sz w:val="20"/>
                <w:szCs w:val="20"/>
              </w:rPr>
              <w:t xml:space="preserve"> analysis of the % variance between the original purchase </w:t>
            </w:r>
            <w:r w:rsidR="00D44FCC">
              <w:rPr>
                <w:rFonts w:cs="Arial"/>
                <w:color w:val="000000" w:themeColor="text1"/>
                <w:sz w:val="20"/>
                <w:szCs w:val="20"/>
              </w:rPr>
              <w:t xml:space="preserve">order value and the amounts </w:t>
            </w:r>
            <w:r w:rsidR="00783191">
              <w:rPr>
                <w:rFonts w:cs="Arial"/>
                <w:color w:val="000000" w:themeColor="text1"/>
                <w:sz w:val="20"/>
                <w:szCs w:val="20"/>
              </w:rPr>
              <w:t>paid on invoices</w:t>
            </w:r>
            <w:r w:rsidR="00D44FCC">
              <w:rPr>
                <w:rFonts w:cs="Arial"/>
                <w:color w:val="000000" w:themeColor="text1"/>
                <w:sz w:val="20"/>
                <w:szCs w:val="20"/>
              </w:rPr>
              <w:t>.</w:t>
            </w:r>
          </w:p>
        </w:tc>
      </w:tr>
      <w:tr w:rsidR="00A56919" w:rsidRPr="00D02E1D" w:rsidTr="00802FB6">
        <w:trPr>
          <w:trHeight w:val="517"/>
        </w:trPr>
        <w:tc>
          <w:tcPr>
            <w:tcW w:w="964" w:type="dxa"/>
            <w:tcBorders>
              <w:top w:val="nil"/>
              <w:bottom w:val="nil"/>
            </w:tcBorders>
          </w:tcPr>
          <w:p w:rsidR="00A56919" w:rsidRDefault="00A56919" w:rsidP="00877D4D">
            <w:pPr>
              <w:jc w:val="center"/>
              <w:rPr>
                <w:rFonts w:cs="Arial"/>
                <w:sz w:val="20"/>
                <w:szCs w:val="20"/>
              </w:rPr>
            </w:pPr>
            <w:r>
              <w:rPr>
                <w:rFonts w:cs="Arial"/>
                <w:sz w:val="20"/>
                <w:szCs w:val="20"/>
              </w:rPr>
              <w:t>3.5</w:t>
            </w:r>
          </w:p>
          <w:p w:rsidR="00A56919" w:rsidRDefault="00A56919" w:rsidP="00877D4D">
            <w:pPr>
              <w:jc w:val="center"/>
              <w:rPr>
                <w:rFonts w:cs="Arial"/>
                <w:sz w:val="20"/>
                <w:szCs w:val="20"/>
              </w:rPr>
            </w:pPr>
          </w:p>
          <w:p w:rsidR="00A56919" w:rsidRDefault="00A56919" w:rsidP="00877D4D">
            <w:pPr>
              <w:jc w:val="center"/>
              <w:rPr>
                <w:rFonts w:cs="Arial"/>
                <w:sz w:val="20"/>
                <w:szCs w:val="20"/>
              </w:rPr>
            </w:pPr>
          </w:p>
          <w:p w:rsidR="00A56919" w:rsidRDefault="00A56919" w:rsidP="00877D4D">
            <w:pPr>
              <w:jc w:val="center"/>
              <w:rPr>
                <w:rFonts w:cs="Arial"/>
                <w:sz w:val="20"/>
                <w:szCs w:val="20"/>
              </w:rPr>
            </w:pPr>
          </w:p>
          <w:p w:rsidR="00A56919" w:rsidRDefault="00A56919" w:rsidP="00877D4D">
            <w:pPr>
              <w:jc w:val="center"/>
              <w:rPr>
                <w:rFonts w:cs="Arial"/>
                <w:sz w:val="20"/>
                <w:szCs w:val="20"/>
              </w:rPr>
            </w:pPr>
          </w:p>
          <w:p w:rsidR="00A56919" w:rsidRPr="00D02E1D" w:rsidRDefault="00A56919" w:rsidP="00877D4D">
            <w:pPr>
              <w:jc w:val="center"/>
              <w:rPr>
                <w:rFonts w:cs="Arial"/>
                <w:sz w:val="20"/>
                <w:szCs w:val="20"/>
              </w:rPr>
            </w:pPr>
            <w:r>
              <w:rPr>
                <w:rFonts w:cs="Arial"/>
                <w:sz w:val="20"/>
                <w:szCs w:val="20"/>
              </w:rPr>
              <w:t>3.6</w:t>
            </w:r>
          </w:p>
        </w:tc>
        <w:tc>
          <w:tcPr>
            <w:tcW w:w="9809" w:type="dxa"/>
            <w:tcBorders>
              <w:top w:val="nil"/>
              <w:bottom w:val="nil"/>
            </w:tcBorders>
          </w:tcPr>
          <w:p w:rsidR="00A56919" w:rsidRDefault="00A56919" w:rsidP="00A56919">
            <w:pPr>
              <w:rPr>
                <w:rFonts w:cs="Arial"/>
                <w:color w:val="000000" w:themeColor="text1"/>
                <w:sz w:val="20"/>
                <w:szCs w:val="20"/>
              </w:rPr>
            </w:pPr>
            <w:r>
              <w:rPr>
                <w:rFonts w:cs="Arial"/>
                <w:color w:val="000000" w:themeColor="text1"/>
                <w:sz w:val="20"/>
                <w:szCs w:val="20"/>
              </w:rPr>
              <w:t xml:space="preserve">It is clear from these findings that officers who authorise invoices are not </w:t>
            </w:r>
            <w:r w:rsidR="00802FB6">
              <w:rPr>
                <w:rFonts w:cs="Arial"/>
                <w:color w:val="000000" w:themeColor="text1"/>
                <w:sz w:val="20"/>
                <w:szCs w:val="20"/>
              </w:rPr>
              <w:t xml:space="preserve">potentially not </w:t>
            </w:r>
            <w:r>
              <w:rPr>
                <w:rFonts w:cs="Arial"/>
                <w:color w:val="000000" w:themeColor="text1"/>
                <w:sz w:val="20"/>
                <w:szCs w:val="20"/>
              </w:rPr>
              <w:t xml:space="preserve">reviewing the amounts invoiced and paid against goods receipted and ordered, it is not clear if this issue is </w:t>
            </w:r>
            <w:r w:rsidR="00802FB6">
              <w:rPr>
                <w:rFonts w:cs="Arial"/>
                <w:color w:val="000000" w:themeColor="text1"/>
                <w:sz w:val="20"/>
                <w:szCs w:val="20"/>
              </w:rPr>
              <w:t xml:space="preserve">addressed with a compensatory control </w:t>
            </w:r>
            <w:r>
              <w:rPr>
                <w:rFonts w:cs="Arial"/>
                <w:color w:val="000000" w:themeColor="text1"/>
                <w:sz w:val="20"/>
                <w:szCs w:val="20"/>
              </w:rPr>
              <w:t xml:space="preserve"> as part of budget monitoring  this is </w:t>
            </w:r>
            <w:r w:rsidR="00802FB6">
              <w:rPr>
                <w:rFonts w:cs="Arial"/>
                <w:color w:val="000000" w:themeColor="text1"/>
                <w:sz w:val="20"/>
                <w:szCs w:val="20"/>
              </w:rPr>
              <w:t>to be reviewed as part of the budget monitoring / managing audit review.</w:t>
            </w:r>
          </w:p>
          <w:p w:rsidR="00A56919" w:rsidRDefault="00A56919" w:rsidP="00A56919">
            <w:pPr>
              <w:rPr>
                <w:rFonts w:cs="Arial"/>
                <w:color w:val="000000" w:themeColor="text1"/>
                <w:sz w:val="20"/>
                <w:szCs w:val="20"/>
              </w:rPr>
            </w:pPr>
          </w:p>
          <w:p w:rsidR="00A56919" w:rsidRPr="00D02E1D" w:rsidRDefault="00A56919" w:rsidP="007D0650">
            <w:pPr>
              <w:rPr>
                <w:rFonts w:cs="Arial"/>
                <w:color w:val="000000" w:themeColor="text1"/>
                <w:sz w:val="20"/>
                <w:szCs w:val="20"/>
              </w:rPr>
            </w:pPr>
            <w:r>
              <w:rPr>
                <w:rFonts w:cs="Arial"/>
                <w:color w:val="000000" w:themeColor="text1"/>
                <w:sz w:val="20"/>
                <w:szCs w:val="20"/>
              </w:rPr>
              <w:t xml:space="preserve">There are also incidents were budgetary controls within the system that only allow orders to be raised if there is sufficient budget are being overridden, moreover  a significant number of users have access rights to authorise Purchase Orders regardless of available budget provision.  .  </w:t>
            </w:r>
            <w:r w:rsidR="005050B4">
              <w:rPr>
                <w:rFonts w:cs="Arial"/>
                <w:color w:val="000000" w:themeColor="text1"/>
                <w:sz w:val="20"/>
                <w:szCs w:val="20"/>
              </w:rPr>
              <w:t xml:space="preserve">The overriding of controls in regard to available budgets allows officers to place orders for goods / services where there is insufficient budget available leaving the Council with significant risk of budget overspends and / or potential breaches of financial procedure rules. </w:t>
            </w:r>
            <w:r>
              <w:rPr>
                <w:rFonts w:cs="Arial"/>
                <w:color w:val="000000" w:themeColor="text1"/>
                <w:sz w:val="20"/>
                <w:szCs w:val="20"/>
              </w:rPr>
              <w:t xml:space="preserve">There is a potential risk of fraud and / or error and officers operating beyond their delegated </w:t>
            </w:r>
            <w:r w:rsidR="005050B4">
              <w:rPr>
                <w:rFonts w:cs="Arial"/>
                <w:color w:val="000000" w:themeColor="text1"/>
                <w:sz w:val="20"/>
                <w:szCs w:val="20"/>
              </w:rPr>
              <w:t>authority</w:t>
            </w:r>
            <w:r>
              <w:rPr>
                <w:rFonts w:cs="Arial"/>
                <w:color w:val="000000" w:themeColor="text1"/>
                <w:sz w:val="20"/>
                <w:szCs w:val="20"/>
              </w:rPr>
              <w:t xml:space="preserve">.  There are no monitoring and reporting arrangements in place to ensure that this facility to override is not being abused by officers.  </w:t>
            </w:r>
            <w:r w:rsidR="005050B4">
              <w:rPr>
                <w:rFonts w:cs="Arial"/>
                <w:color w:val="000000" w:themeColor="text1"/>
                <w:sz w:val="20"/>
                <w:szCs w:val="20"/>
              </w:rPr>
              <w:t xml:space="preserve">  This will be reviewed as part of the audit review of budget monitoring / management.</w:t>
            </w:r>
          </w:p>
        </w:tc>
      </w:tr>
      <w:tr w:rsidR="008B66A8" w:rsidRPr="00D02E1D" w:rsidTr="008C2BB8">
        <w:trPr>
          <w:trHeight w:val="517"/>
        </w:trPr>
        <w:tc>
          <w:tcPr>
            <w:tcW w:w="964" w:type="dxa"/>
            <w:tcBorders>
              <w:top w:val="nil"/>
              <w:bottom w:val="nil"/>
            </w:tcBorders>
          </w:tcPr>
          <w:p w:rsidR="008B66A8" w:rsidRPr="00D02E1D" w:rsidRDefault="008B66A8" w:rsidP="00877D4D">
            <w:pPr>
              <w:jc w:val="center"/>
              <w:rPr>
                <w:rFonts w:cs="Arial"/>
                <w:sz w:val="20"/>
                <w:szCs w:val="20"/>
              </w:rPr>
            </w:pPr>
            <w:r w:rsidRPr="00D02E1D">
              <w:rPr>
                <w:rFonts w:cs="Arial"/>
                <w:sz w:val="20"/>
                <w:szCs w:val="20"/>
              </w:rPr>
              <w:t>3.</w:t>
            </w:r>
            <w:r w:rsidR="00877D4D">
              <w:rPr>
                <w:rFonts w:cs="Arial"/>
                <w:sz w:val="20"/>
                <w:szCs w:val="20"/>
              </w:rPr>
              <w:t>7</w:t>
            </w:r>
          </w:p>
        </w:tc>
        <w:tc>
          <w:tcPr>
            <w:tcW w:w="9809" w:type="dxa"/>
            <w:tcBorders>
              <w:top w:val="nil"/>
              <w:bottom w:val="nil"/>
            </w:tcBorders>
          </w:tcPr>
          <w:p w:rsidR="008B66A8" w:rsidRPr="00D02E1D" w:rsidRDefault="008B66A8" w:rsidP="008B66A8">
            <w:pPr>
              <w:rPr>
                <w:rFonts w:cs="Arial"/>
                <w:color w:val="000000" w:themeColor="text1"/>
                <w:sz w:val="20"/>
                <w:szCs w:val="20"/>
              </w:rPr>
            </w:pPr>
            <w:r w:rsidRPr="00D02E1D">
              <w:rPr>
                <w:rFonts w:cs="Arial"/>
                <w:color w:val="000000" w:themeColor="text1"/>
                <w:sz w:val="20"/>
                <w:szCs w:val="20"/>
              </w:rPr>
              <w:t xml:space="preserve">Testing </w:t>
            </w:r>
            <w:r w:rsidR="00A40A4A">
              <w:rPr>
                <w:rFonts w:cs="Arial"/>
                <w:color w:val="000000" w:themeColor="text1"/>
                <w:sz w:val="20"/>
                <w:szCs w:val="20"/>
              </w:rPr>
              <w:t xml:space="preserve">also </w:t>
            </w:r>
            <w:r w:rsidRPr="00D02E1D">
              <w:rPr>
                <w:rFonts w:cs="Arial"/>
                <w:color w:val="000000" w:themeColor="text1"/>
                <w:sz w:val="20"/>
                <w:szCs w:val="20"/>
              </w:rPr>
              <w:t xml:space="preserve">identified </w:t>
            </w:r>
            <w:r>
              <w:rPr>
                <w:rFonts w:cs="Arial"/>
                <w:color w:val="000000" w:themeColor="text1"/>
                <w:sz w:val="20"/>
                <w:szCs w:val="20"/>
              </w:rPr>
              <w:t xml:space="preserve">that </w:t>
            </w:r>
            <w:r w:rsidR="00A40A4A">
              <w:rPr>
                <w:rFonts w:cs="Arial"/>
                <w:color w:val="000000" w:themeColor="text1"/>
                <w:sz w:val="20"/>
                <w:szCs w:val="20"/>
              </w:rPr>
              <w:t xml:space="preserve">whilst </w:t>
            </w:r>
            <w:r>
              <w:rPr>
                <w:rFonts w:cs="Arial"/>
                <w:color w:val="000000" w:themeColor="text1"/>
                <w:sz w:val="20"/>
                <w:szCs w:val="20"/>
              </w:rPr>
              <w:t xml:space="preserve">an official order has been issued for most goods and services supplied and </w:t>
            </w:r>
            <w:r w:rsidRPr="00D02E1D">
              <w:rPr>
                <w:rFonts w:cs="Arial"/>
                <w:color w:val="000000" w:themeColor="text1"/>
                <w:sz w:val="20"/>
                <w:szCs w:val="20"/>
              </w:rPr>
              <w:t>a bona fide invoice</w:t>
            </w:r>
            <w:r>
              <w:rPr>
                <w:rFonts w:cs="Arial"/>
                <w:color w:val="000000" w:themeColor="text1"/>
                <w:sz w:val="20"/>
                <w:szCs w:val="20"/>
              </w:rPr>
              <w:t xml:space="preserve"> is present, </w:t>
            </w:r>
            <w:r w:rsidR="00A40A4A">
              <w:rPr>
                <w:rFonts w:cs="Arial"/>
                <w:color w:val="000000" w:themeColor="text1"/>
                <w:sz w:val="20"/>
                <w:szCs w:val="20"/>
              </w:rPr>
              <w:t xml:space="preserve">there are </w:t>
            </w:r>
            <w:r w:rsidR="007B76CE">
              <w:rPr>
                <w:rFonts w:cs="Arial"/>
                <w:color w:val="000000" w:themeColor="text1"/>
                <w:sz w:val="20"/>
                <w:szCs w:val="20"/>
              </w:rPr>
              <w:t>a number</w:t>
            </w:r>
            <w:r w:rsidR="00A40A4A">
              <w:rPr>
                <w:rFonts w:cs="Arial"/>
                <w:color w:val="000000" w:themeColor="text1"/>
                <w:sz w:val="20"/>
                <w:szCs w:val="20"/>
              </w:rPr>
              <w:t xml:space="preserve"> of weaknesses in control within the processes / system for </w:t>
            </w:r>
            <w:r w:rsidR="006C4A9A">
              <w:rPr>
                <w:rFonts w:cs="Arial"/>
                <w:color w:val="000000" w:themeColor="text1"/>
                <w:sz w:val="20"/>
                <w:szCs w:val="20"/>
              </w:rPr>
              <w:t xml:space="preserve">the </w:t>
            </w:r>
            <w:r w:rsidR="00A40A4A">
              <w:rPr>
                <w:rFonts w:cs="Arial"/>
                <w:color w:val="000000" w:themeColor="text1"/>
                <w:sz w:val="20"/>
                <w:szCs w:val="20"/>
              </w:rPr>
              <w:t xml:space="preserve">procurement of goods and payments of invoices in </w:t>
            </w:r>
            <w:r w:rsidR="00981D1A">
              <w:rPr>
                <w:rFonts w:cs="Arial"/>
                <w:color w:val="000000" w:themeColor="text1"/>
                <w:sz w:val="20"/>
                <w:szCs w:val="20"/>
              </w:rPr>
              <w:t>that:</w:t>
            </w:r>
          </w:p>
          <w:p w:rsidR="008B66A8" w:rsidRPr="00D02E1D" w:rsidRDefault="008B66A8" w:rsidP="008B66A8">
            <w:pPr>
              <w:rPr>
                <w:rFonts w:cs="Arial"/>
                <w:color w:val="000000" w:themeColor="text1"/>
                <w:sz w:val="20"/>
                <w:szCs w:val="20"/>
              </w:rPr>
            </w:pPr>
          </w:p>
        </w:tc>
      </w:tr>
      <w:tr w:rsidR="008B66A8" w:rsidRPr="00D02E1D" w:rsidTr="007D0650">
        <w:trPr>
          <w:trHeight w:val="517"/>
        </w:trPr>
        <w:tc>
          <w:tcPr>
            <w:tcW w:w="964" w:type="dxa"/>
            <w:tcBorders>
              <w:top w:val="nil"/>
              <w:bottom w:val="nil"/>
            </w:tcBorders>
          </w:tcPr>
          <w:p w:rsidR="008B66A8" w:rsidRDefault="008B66A8" w:rsidP="008B66A8">
            <w:pPr>
              <w:jc w:val="center"/>
              <w:rPr>
                <w:rFonts w:cs="Arial"/>
                <w:sz w:val="20"/>
                <w:szCs w:val="20"/>
              </w:rPr>
            </w:pPr>
          </w:p>
          <w:p w:rsidR="00877D4D" w:rsidRDefault="00877D4D" w:rsidP="008B66A8">
            <w:pPr>
              <w:jc w:val="center"/>
              <w:rPr>
                <w:rFonts w:cs="Arial"/>
                <w:sz w:val="20"/>
                <w:szCs w:val="20"/>
              </w:rPr>
            </w:pPr>
          </w:p>
          <w:p w:rsidR="00877D4D" w:rsidRPr="00D02E1D" w:rsidRDefault="00877D4D" w:rsidP="008B66A8">
            <w:pPr>
              <w:jc w:val="center"/>
              <w:rPr>
                <w:rFonts w:cs="Arial"/>
                <w:sz w:val="20"/>
                <w:szCs w:val="20"/>
              </w:rPr>
            </w:pPr>
          </w:p>
        </w:tc>
        <w:tc>
          <w:tcPr>
            <w:tcW w:w="9809" w:type="dxa"/>
            <w:tcBorders>
              <w:top w:val="nil"/>
              <w:bottom w:val="nil"/>
            </w:tcBorders>
          </w:tcPr>
          <w:p w:rsidR="004E6297" w:rsidRDefault="004E6297" w:rsidP="007008FD">
            <w:pPr>
              <w:pStyle w:val="ListParagraph"/>
              <w:numPr>
                <w:ilvl w:val="0"/>
                <w:numId w:val="36"/>
              </w:numPr>
              <w:rPr>
                <w:rFonts w:cs="Arial"/>
                <w:color w:val="000000" w:themeColor="text1"/>
                <w:sz w:val="20"/>
                <w:szCs w:val="20"/>
              </w:rPr>
            </w:pPr>
            <w:r>
              <w:rPr>
                <w:rFonts w:cs="Arial"/>
                <w:color w:val="000000" w:themeColor="text1"/>
                <w:sz w:val="20"/>
                <w:szCs w:val="20"/>
              </w:rPr>
              <w:t>Orders have been raised after the services have been partly/fully received.</w:t>
            </w:r>
          </w:p>
          <w:p w:rsidR="004D6E5C" w:rsidRPr="00A40A4A" w:rsidRDefault="004D6E5C" w:rsidP="007008FD">
            <w:pPr>
              <w:pStyle w:val="ListParagraph"/>
              <w:numPr>
                <w:ilvl w:val="0"/>
                <w:numId w:val="36"/>
              </w:numPr>
              <w:rPr>
                <w:rFonts w:cs="Arial"/>
                <w:color w:val="000000" w:themeColor="text1"/>
                <w:sz w:val="20"/>
                <w:szCs w:val="20"/>
              </w:rPr>
            </w:pPr>
            <w:r w:rsidRPr="00A40A4A">
              <w:rPr>
                <w:rFonts w:cs="Arial"/>
                <w:color w:val="000000" w:themeColor="text1"/>
                <w:sz w:val="20"/>
                <w:szCs w:val="20"/>
              </w:rPr>
              <w:t>Services are raising orders inaccurately as they don’t cover all the services supplied or the value is incorrect.</w:t>
            </w:r>
            <w:r w:rsidR="00B3678F" w:rsidRPr="00A40A4A">
              <w:rPr>
                <w:rFonts w:cs="Arial"/>
                <w:color w:val="000000" w:themeColor="text1"/>
                <w:sz w:val="20"/>
                <w:szCs w:val="20"/>
              </w:rPr>
              <w:t xml:space="preserve">  </w:t>
            </w:r>
          </w:p>
          <w:p w:rsidR="008B66A8" w:rsidRPr="00A40A4A" w:rsidRDefault="008B66A8" w:rsidP="007008FD">
            <w:pPr>
              <w:pStyle w:val="ListParagraph"/>
              <w:numPr>
                <w:ilvl w:val="0"/>
                <w:numId w:val="36"/>
              </w:numPr>
              <w:rPr>
                <w:rFonts w:cs="Arial"/>
                <w:color w:val="000000" w:themeColor="text1"/>
                <w:sz w:val="20"/>
                <w:szCs w:val="20"/>
              </w:rPr>
            </w:pPr>
            <w:r w:rsidRPr="007008FD">
              <w:rPr>
                <w:rFonts w:cs="Arial"/>
                <w:color w:val="000000" w:themeColor="text1"/>
                <w:sz w:val="20"/>
                <w:szCs w:val="20"/>
              </w:rPr>
              <w:t xml:space="preserve">Goods/services received are not </w:t>
            </w:r>
            <w:r w:rsidR="000D1BFD" w:rsidRPr="007008FD">
              <w:rPr>
                <w:rFonts w:cs="Arial"/>
                <w:color w:val="000000" w:themeColor="text1"/>
                <w:sz w:val="20"/>
                <w:szCs w:val="20"/>
              </w:rPr>
              <w:t>always</w:t>
            </w:r>
            <w:r w:rsidRPr="007008FD">
              <w:rPr>
                <w:rFonts w:cs="Arial"/>
                <w:color w:val="000000" w:themeColor="text1"/>
                <w:sz w:val="20"/>
                <w:szCs w:val="20"/>
              </w:rPr>
              <w:t xml:space="preserve"> recorded upon receipt and </w:t>
            </w:r>
            <w:r w:rsidR="000D1BFD" w:rsidRPr="007008FD">
              <w:rPr>
                <w:rFonts w:cs="Arial"/>
                <w:color w:val="000000" w:themeColor="text1"/>
                <w:sz w:val="20"/>
                <w:szCs w:val="20"/>
              </w:rPr>
              <w:t xml:space="preserve">for the correct value </w:t>
            </w:r>
          </w:p>
          <w:p w:rsidR="004E6297" w:rsidRPr="007008FD" w:rsidRDefault="000D1BFD" w:rsidP="006C4A9A">
            <w:pPr>
              <w:pStyle w:val="ListParagraph"/>
              <w:ind w:left="360"/>
              <w:rPr>
                <w:rFonts w:cs="Arial"/>
                <w:color w:val="000000" w:themeColor="text1"/>
                <w:sz w:val="20"/>
                <w:szCs w:val="20"/>
              </w:rPr>
            </w:pPr>
            <w:r w:rsidRPr="007B76CE">
              <w:rPr>
                <w:rFonts w:cs="Arial"/>
                <w:color w:val="000000" w:themeColor="text1"/>
                <w:sz w:val="20"/>
                <w:szCs w:val="20"/>
              </w:rPr>
              <w:t>Occasionally orders are</w:t>
            </w:r>
            <w:r w:rsidR="008B66A8" w:rsidRPr="007B76CE">
              <w:rPr>
                <w:rFonts w:cs="Arial"/>
                <w:color w:val="000000" w:themeColor="text1"/>
                <w:sz w:val="20"/>
                <w:szCs w:val="20"/>
              </w:rPr>
              <w:t xml:space="preserve"> cancelled (in error)</w:t>
            </w:r>
            <w:r w:rsidR="00C3336D" w:rsidRPr="007B76CE">
              <w:rPr>
                <w:rFonts w:cs="Arial"/>
                <w:color w:val="000000" w:themeColor="text1"/>
                <w:sz w:val="20"/>
                <w:szCs w:val="20"/>
              </w:rPr>
              <w:t xml:space="preserve">, the supplier invoice is subsequently received </w:t>
            </w:r>
            <w:r w:rsidR="008B66A8" w:rsidRPr="007B76CE">
              <w:rPr>
                <w:rFonts w:cs="Arial"/>
                <w:color w:val="000000" w:themeColor="text1"/>
                <w:sz w:val="20"/>
                <w:szCs w:val="20"/>
              </w:rPr>
              <w:t xml:space="preserve">and paid without there being an official order in place. </w:t>
            </w:r>
          </w:p>
        </w:tc>
      </w:tr>
      <w:tr w:rsidR="006C4A9A" w:rsidRPr="00D02E1D" w:rsidTr="007D0650">
        <w:trPr>
          <w:trHeight w:val="517"/>
        </w:trPr>
        <w:tc>
          <w:tcPr>
            <w:tcW w:w="964" w:type="dxa"/>
            <w:tcBorders>
              <w:top w:val="nil"/>
              <w:bottom w:val="nil"/>
            </w:tcBorders>
          </w:tcPr>
          <w:p w:rsidR="006C4A9A" w:rsidRDefault="006C4A9A" w:rsidP="00877D4D">
            <w:pPr>
              <w:jc w:val="center"/>
              <w:rPr>
                <w:rFonts w:cs="Arial"/>
                <w:sz w:val="20"/>
                <w:szCs w:val="20"/>
              </w:rPr>
            </w:pPr>
          </w:p>
        </w:tc>
        <w:tc>
          <w:tcPr>
            <w:tcW w:w="9809" w:type="dxa"/>
            <w:tcBorders>
              <w:top w:val="nil"/>
              <w:bottom w:val="nil"/>
            </w:tcBorders>
          </w:tcPr>
          <w:p w:rsidR="006C4A9A" w:rsidRPr="008B66A8" w:rsidRDefault="006C4A9A" w:rsidP="006C4A9A">
            <w:pPr>
              <w:pStyle w:val="ListParagraph"/>
              <w:numPr>
                <w:ilvl w:val="0"/>
                <w:numId w:val="36"/>
              </w:numPr>
              <w:rPr>
                <w:rFonts w:cs="Arial"/>
                <w:color w:val="000000" w:themeColor="text1"/>
                <w:sz w:val="20"/>
                <w:szCs w:val="20"/>
              </w:rPr>
            </w:pPr>
            <w:r w:rsidRPr="008B66A8">
              <w:rPr>
                <w:rFonts w:cs="Arial"/>
                <w:color w:val="000000" w:themeColor="text1"/>
                <w:sz w:val="20"/>
                <w:szCs w:val="20"/>
              </w:rPr>
              <w:t xml:space="preserve">An official order </w:t>
            </w:r>
            <w:r>
              <w:rPr>
                <w:rFonts w:cs="Arial"/>
                <w:color w:val="000000" w:themeColor="text1"/>
                <w:sz w:val="20"/>
                <w:szCs w:val="20"/>
              </w:rPr>
              <w:t>i</w:t>
            </w:r>
            <w:r w:rsidRPr="008B66A8">
              <w:rPr>
                <w:rFonts w:cs="Arial"/>
                <w:color w:val="000000" w:themeColor="text1"/>
                <w:sz w:val="20"/>
                <w:szCs w:val="20"/>
              </w:rPr>
              <w:t>s not completed for DFG cases (CBC)</w:t>
            </w:r>
            <w:r>
              <w:rPr>
                <w:rFonts w:cs="Arial"/>
                <w:color w:val="000000" w:themeColor="text1"/>
                <w:sz w:val="20"/>
                <w:szCs w:val="20"/>
              </w:rPr>
              <w:t>, w</w:t>
            </w:r>
            <w:r w:rsidRPr="008B66A8">
              <w:rPr>
                <w:rFonts w:cs="Arial"/>
                <w:color w:val="000000" w:themeColor="text1"/>
                <w:sz w:val="20"/>
                <w:szCs w:val="20"/>
              </w:rPr>
              <w:t xml:space="preserve">hilst an order is not </w:t>
            </w:r>
            <w:r>
              <w:rPr>
                <w:rFonts w:cs="Arial"/>
                <w:color w:val="000000" w:themeColor="text1"/>
                <w:sz w:val="20"/>
                <w:szCs w:val="20"/>
              </w:rPr>
              <w:t xml:space="preserve">necessarily </w:t>
            </w:r>
            <w:r w:rsidRPr="008B66A8">
              <w:rPr>
                <w:rFonts w:cs="Arial"/>
                <w:color w:val="000000" w:themeColor="text1"/>
                <w:sz w:val="20"/>
                <w:szCs w:val="20"/>
              </w:rPr>
              <w:t xml:space="preserve">required it is best practise to issue an order so that the expenditure commitment is recorded in the general ledger.    </w:t>
            </w:r>
          </w:p>
          <w:p w:rsidR="006C4A9A" w:rsidRDefault="006C4A9A" w:rsidP="006C4A9A">
            <w:pPr>
              <w:pStyle w:val="ListParagraph"/>
              <w:numPr>
                <w:ilvl w:val="0"/>
                <w:numId w:val="36"/>
              </w:numPr>
              <w:rPr>
                <w:rFonts w:cs="Arial"/>
                <w:color w:val="000000" w:themeColor="text1"/>
                <w:sz w:val="20"/>
                <w:szCs w:val="20"/>
              </w:rPr>
            </w:pPr>
            <w:r w:rsidRPr="007B76CE">
              <w:rPr>
                <w:rFonts w:cs="Arial"/>
                <w:color w:val="000000" w:themeColor="text1"/>
                <w:sz w:val="20"/>
                <w:szCs w:val="20"/>
              </w:rPr>
              <w:t>Inaccurate recording of the invoice date in the creditors system on a s</w:t>
            </w:r>
            <w:r>
              <w:rPr>
                <w:rFonts w:cs="Arial"/>
                <w:color w:val="000000" w:themeColor="text1"/>
                <w:sz w:val="20"/>
                <w:szCs w:val="20"/>
              </w:rPr>
              <w:t>m</w:t>
            </w:r>
            <w:r w:rsidRPr="007B76CE">
              <w:rPr>
                <w:rFonts w:cs="Arial"/>
                <w:color w:val="000000" w:themeColor="text1"/>
                <w:sz w:val="20"/>
                <w:szCs w:val="20"/>
              </w:rPr>
              <w:t>all number of occurrences</w:t>
            </w:r>
            <w:r>
              <w:rPr>
                <w:rFonts w:cs="Arial"/>
                <w:color w:val="000000" w:themeColor="text1"/>
                <w:sz w:val="20"/>
                <w:szCs w:val="20"/>
              </w:rPr>
              <w:t>.</w:t>
            </w:r>
          </w:p>
          <w:p w:rsidR="006C4A9A" w:rsidRDefault="006C4A9A" w:rsidP="008B66A8">
            <w:pPr>
              <w:rPr>
                <w:rFonts w:cs="Arial"/>
                <w:color w:val="000000" w:themeColor="text1"/>
                <w:sz w:val="20"/>
                <w:szCs w:val="20"/>
              </w:rPr>
            </w:pPr>
          </w:p>
        </w:tc>
      </w:tr>
      <w:tr w:rsidR="008B66A8" w:rsidRPr="00D02E1D" w:rsidTr="007D0650">
        <w:trPr>
          <w:trHeight w:val="517"/>
        </w:trPr>
        <w:tc>
          <w:tcPr>
            <w:tcW w:w="964" w:type="dxa"/>
            <w:tcBorders>
              <w:top w:val="nil"/>
              <w:bottom w:val="nil"/>
            </w:tcBorders>
          </w:tcPr>
          <w:p w:rsidR="008B66A8" w:rsidRPr="00D02E1D" w:rsidRDefault="008B66A8" w:rsidP="00877D4D">
            <w:pPr>
              <w:jc w:val="center"/>
              <w:rPr>
                <w:rFonts w:cs="Arial"/>
                <w:sz w:val="20"/>
                <w:szCs w:val="20"/>
              </w:rPr>
            </w:pPr>
            <w:r>
              <w:rPr>
                <w:rFonts w:cs="Arial"/>
                <w:sz w:val="20"/>
                <w:szCs w:val="20"/>
              </w:rPr>
              <w:t>3.</w:t>
            </w:r>
            <w:r w:rsidR="00DA2D3B">
              <w:rPr>
                <w:rFonts w:cs="Arial"/>
                <w:sz w:val="20"/>
                <w:szCs w:val="20"/>
              </w:rPr>
              <w:t>8</w:t>
            </w:r>
          </w:p>
        </w:tc>
        <w:tc>
          <w:tcPr>
            <w:tcW w:w="9809" w:type="dxa"/>
            <w:tcBorders>
              <w:top w:val="nil"/>
              <w:bottom w:val="nil"/>
            </w:tcBorders>
          </w:tcPr>
          <w:p w:rsidR="008B66A8" w:rsidRDefault="00A40A4A" w:rsidP="008B66A8">
            <w:pPr>
              <w:rPr>
                <w:rFonts w:cs="Arial"/>
                <w:color w:val="000000" w:themeColor="text1"/>
                <w:sz w:val="20"/>
                <w:szCs w:val="20"/>
              </w:rPr>
            </w:pPr>
            <w:r>
              <w:rPr>
                <w:rFonts w:cs="Arial"/>
                <w:color w:val="000000" w:themeColor="text1"/>
                <w:sz w:val="20"/>
                <w:szCs w:val="20"/>
              </w:rPr>
              <w:t>It was also identified that at year end good / services are being receipted prior to actual receipt of the goods / services being received</w:t>
            </w:r>
            <w:r w:rsidR="00500C34" w:rsidRPr="00A8702D">
              <w:rPr>
                <w:rFonts w:cs="Arial"/>
                <w:color w:val="000000" w:themeColor="text1"/>
                <w:sz w:val="20"/>
                <w:szCs w:val="20"/>
              </w:rPr>
              <w:t xml:space="preserve"> to</w:t>
            </w:r>
            <w:r w:rsidR="00500C34">
              <w:rPr>
                <w:rFonts w:cs="Arial"/>
                <w:color w:val="000000" w:themeColor="text1"/>
                <w:sz w:val="20"/>
                <w:szCs w:val="20"/>
              </w:rPr>
              <w:t xml:space="preserve"> facilitate the year-end </w:t>
            </w:r>
            <w:r w:rsidR="00500C34" w:rsidRPr="00A8702D">
              <w:rPr>
                <w:rFonts w:cs="Arial"/>
                <w:color w:val="000000" w:themeColor="text1"/>
                <w:sz w:val="20"/>
                <w:szCs w:val="20"/>
              </w:rPr>
              <w:t>accruals process</w:t>
            </w:r>
            <w:r>
              <w:rPr>
                <w:rFonts w:cs="Arial"/>
                <w:color w:val="000000" w:themeColor="text1"/>
                <w:sz w:val="20"/>
                <w:szCs w:val="20"/>
              </w:rPr>
              <w:t xml:space="preserve">.  This is a significant risk that could </w:t>
            </w:r>
            <w:r w:rsidR="00A8702D" w:rsidRPr="00A8702D">
              <w:rPr>
                <w:rFonts w:cs="Arial"/>
                <w:color w:val="000000" w:themeColor="text1"/>
                <w:sz w:val="20"/>
                <w:szCs w:val="20"/>
              </w:rPr>
              <w:t>lead to the financial accounts being misstated</w:t>
            </w:r>
            <w:r w:rsidR="007F2F6A">
              <w:rPr>
                <w:rFonts w:cs="Arial"/>
                <w:color w:val="000000" w:themeColor="text1"/>
                <w:sz w:val="20"/>
                <w:szCs w:val="20"/>
              </w:rPr>
              <w:t xml:space="preserve">, it also could result in payment for goods without having received </w:t>
            </w:r>
            <w:r w:rsidR="00981D1A">
              <w:rPr>
                <w:rFonts w:cs="Arial"/>
                <w:color w:val="000000" w:themeColor="text1"/>
                <w:sz w:val="20"/>
                <w:szCs w:val="20"/>
              </w:rPr>
              <w:t>them.</w:t>
            </w:r>
            <w:r w:rsidR="00A8702D" w:rsidRPr="00A8702D">
              <w:rPr>
                <w:rFonts w:cs="Arial"/>
                <w:color w:val="000000" w:themeColor="text1"/>
                <w:sz w:val="20"/>
                <w:szCs w:val="20"/>
              </w:rPr>
              <w:t xml:space="preserve"> </w:t>
            </w:r>
          </w:p>
          <w:p w:rsidR="008B66A8" w:rsidRPr="00D02E1D" w:rsidRDefault="008B66A8" w:rsidP="008B66A8">
            <w:pPr>
              <w:rPr>
                <w:rFonts w:cs="Arial"/>
                <w:color w:val="000000" w:themeColor="text1"/>
                <w:sz w:val="20"/>
                <w:szCs w:val="20"/>
              </w:rPr>
            </w:pPr>
          </w:p>
        </w:tc>
      </w:tr>
      <w:tr w:rsidR="008B66A8" w:rsidRPr="00D02E1D" w:rsidTr="006C4A9A">
        <w:trPr>
          <w:trHeight w:val="517"/>
        </w:trPr>
        <w:tc>
          <w:tcPr>
            <w:tcW w:w="964" w:type="dxa"/>
            <w:tcBorders>
              <w:top w:val="nil"/>
              <w:bottom w:val="nil"/>
            </w:tcBorders>
          </w:tcPr>
          <w:p w:rsidR="008B66A8" w:rsidRPr="00D02E1D" w:rsidRDefault="008B66A8" w:rsidP="008B66A8">
            <w:pPr>
              <w:jc w:val="center"/>
              <w:rPr>
                <w:rFonts w:cs="Arial"/>
                <w:sz w:val="20"/>
                <w:szCs w:val="20"/>
              </w:rPr>
            </w:pPr>
            <w:r w:rsidRPr="00D02E1D">
              <w:rPr>
                <w:rFonts w:cs="Arial"/>
                <w:sz w:val="20"/>
                <w:szCs w:val="20"/>
              </w:rPr>
              <w:t>3.</w:t>
            </w:r>
            <w:r w:rsidR="00DA2D3B">
              <w:rPr>
                <w:rFonts w:cs="Arial"/>
                <w:sz w:val="20"/>
                <w:szCs w:val="20"/>
              </w:rPr>
              <w:t>9</w:t>
            </w:r>
          </w:p>
        </w:tc>
        <w:tc>
          <w:tcPr>
            <w:tcW w:w="9809" w:type="dxa"/>
            <w:tcBorders>
              <w:top w:val="nil"/>
              <w:bottom w:val="nil"/>
            </w:tcBorders>
          </w:tcPr>
          <w:p w:rsidR="008B66A8" w:rsidRPr="00D02E1D" w:rsidRDefault="008B66A8" w:rsidP="00EC203A">
            <w:pPr>
              <w:rPr>
                <w:rFonts w:cs="Arial"/>
                <w:color w:val="000000" w:themeColor="text1"/>
                <w:sz w:val="20"/>
                <w:szCs w:val="20"/>
              </w:rPr>
            </w:pPr>
            <w:r w:rsidRPr="00D02E1D">
              <w:rPr>
                <w:rFonts w:cs="Arial"/>
                <w:color w:val="000000" w:themeColor="text1"/>
                <w:sz w:val="20"/>
                <w:szCs w:val="20"/>
              </w:rPr>
              <w:t>The</w:t>
            </w:r>
            <w:r w:rsidR="00E46C8D">
              <w:rPr>
                <w:rFonts w:cs="Arial"/>
                <w:color w:val="000000" w:themeColor="text1"/>
                <w:sz w:val="20"/>
                <w:szCs w:val="20"/>
              </w:rPr>
              <w:t xml:space="preserve"> creditors system</w:t>
            </w:r>
            <w:r w:rsidRPr="00D02E1D">
              <w:rPr>
                <w:rFonts w:cs="Arial"/>
                <w:color w:val="000000" w:themeColor="text1"/>
                <w:sz w:val="20"/>
                <w:szCs w:val="20"/>
              </w:rPr>
              <w:t xml:space="preserve"> </w:t>
            </w:r>
            <w:r w:rsidR="00E46C8D">
              <w:rPr>
                <w:rFonts w:cs="Arial"/>
                <w:color w:val="000000" w:themeColor="text1"/>
                <w:sz w:val="20"/>
                <w:szCs w:val="20"/>
              </w:rPr>
              <w:t>supplier</w:t>
            </w:r>
            <w:r w:rsidRPr="00D02E1D">
              <w:rPr>
                <w:rFonts w:cs="Arial"/>
                <w:color w:val="000000" w:themeColor="text1"/>
                <w:sz w:val="20"/>
                <w:szCs w:val="20"/>
              </w:rPr>
              <w:t xml:space="preserve"> set up and change process is generally sound</w:t>
            </w:r>
            <w:r>
              <w:rPr>
                <w:rFonts w:cs="Arial"/>
                <w:color w:val="000000" w:themeColor="text1"/>
                <w:sz w:val="20"/>
                <w:szCs w:val="20"/>
              </w:rPr>
              <w:t>, incorporating supervisory review</w:t>
            </w:r>
            <w:r>
              <w:rPr>
                <w:rFonts w:cs="Arial"/>
                <w:sz w:val="20"/>
                <w:szCs w:val="20"/>
              </w:rPr>
              <w:t xml:space="preserve"> and addresses</w:t>
            </w:r>
            <w:r w:rsidRPr="00D02E1D">
              <w:rPr>
                <w:rFonts w:cs="Arial"/>
                <w:color w:val="000000" w:themeColor="text1"/>
                <w:sz w:val="20"/>
                <w:szCs w:val="20"/>
              </w:rPr>
              <w:t xml:space="preserve"> the risk of fraud/error.  </w:t>
            </w:r>
            <w:r w:rsidR="005E470E">
              <w:rPr>
                <w:rFonts w:cs="Arial"/>
                <w:color w:val="000000" w:themeColor="text1"/>
                <w:sz w:val="20"/>
                <w:szCs w:val="20"/>
              </w:rPr>
              <w:t>However, t</w:t>
            </w:r>
            <w:r w:rsidR="005E470E" w:rsidRPr="005E470E">
              <w:rPr>
                <w:rFonts w:cs="Arial"/>
                <w:color w:val="000000" w:themeColor="text1"/>
                <w:sz w:val="20"/>
                <w:szCs w:val="20"/>
              </w:rPr>
              <w:t xml:space="preserve">he process could be improved as </w:t>
            </w:r>
            <w:r w:rsidR="007F2F6A">
              <w:rPr>
                <w:rFonts w:cs="Arial"/>
                <w:color w:val="000000" w:themeColor="text1"/>
                <w:sz w:val="20"/>
                <w:szCs w:val="20"/>
              </w:rPr>
              <w:t xml:space="preserve">currently </w:t>
            </w:r>
            <w:r w:rsidR="005E470E" w:rsidRPr="005E470E">
              <w:rPr>
                <w:rFonts w:cs="Arial"/>
                <w:color w:val="000000" w:themeColor="text1"/>
                <w:sz w:val="20"/>
                <w:szCs w:val="20"/>
              </w:rPr>
              <w:t xml:space="preserve">there is no standard form available for services to </w:t>
            </w:r>
            <w:r w:rsidR="007F2F6A">
              <w:rPr>
                <w:rFonts w:cs="Arial"/>
                <w:color w:val="000000" w:themeColor="text1"/>
                <w:sz w:val="20"/>
                <w:szCs w:val="20"/>
              </w:rPr>
              <w:t xml:space="preserve">provide to </w:t>
            </w:r>
            <w:r w:rsidR="005E470E" w:rsidRPr="005E470E">
              <w:rPr>
                <w:rFonts w:cs="Arial"/>
                <w:color w:val="000000" w:themeColor="text1"/>
                <w:sz w:val="20"/>
                <w:szCs w:val="20"/>
              </w:rPr>
              <w:t xml:space="preserve">suppliers </w:t>
            </w:r>
            <w:r w:rsidR="007F2F6A">
              <w:rPr>
                <w:rFonts w:cs="Arial"/>
                <w:color w:val="000000" w:themeColor="text1"/>
                <w:sz w:val="20"/>
                <w:szCs w:val="20"/>
              </w:rPr>
              <w:t xml:space="preserve">in order to </w:t>
            </w:r>
            <w:proofErr w:type="spellStart"/>
            <w:r w:rsidR="005E470E" w:rsidRPr="005E470E">
              <w:rPr>
                <w:rFonts w:cs="Arial"/>
                <w:color w:val="000000" w:themeColor="text1"/>
                <w:sz w:val="20"/>
                <w:szCs w:val="20"/>
              </w:rPr>
              <w:t>to</w:t>
            </w:r>
            <w:proofErr w:type="spellEnd"/>
            <w:r w:rsidR="005E470E" w:rsidRPr="005E470E">
              <w:rPr>
                <w:rFonts w:cs="Arial"/>
                <w:color w:val="000000" w:themeColor="text1"/>
                <w:sz w:val="20"/>
                <w:szCs w:val="20"/>
              </w:rPr>
              <w:t xml:space="preserve"> ensure that the correct supplier details are obtained.  This would</w:t>
            </w:r>
            <w:r w:rsidR="005E470E">
              <w:rPr>
                <w:rFonts w:cs="Arial"/>
                <w:color w:val="000000" w:themeColor="text1"/>
                <w:sz w:val="20"/>
                <w:szCs w:val="20"/>
              </w:rPr>
              <w:t xml:space="preserve"> further</w:t>
            </w:r>
            <w:r w:rsidR="005E470E" w:rsidRPr="005E470E">
              <w:rPr>
                <w:rFonts w:cs="Arial"/>
                <w:color w:val="000000" w:themeColor="text1"/>
                <w:sz w:val="20"/>
                <w:szCs w:val="20"/>
              </w:rPr>
              <w:t xml:space="preserve"> reduce the risk of error and support the supplier bank details change verification process.  </w:t>
            </w:r>
            <w:r w:rsidR="00E46C8D">
              <w:rPr>
                <w:rFonts w:cs="Arial"/>
                <w:color w:val="000000" w:themeColor="text1"/>
                <w:sz w:val="20"/>
                <w:szCs w:val="20"/>
              </w:rPr>
              <w:t xml:space="preserve"> </w:t>
            </w:r>
          </w:p>
        </w:tc>
      </w:tr>
      <w:tr w:rsidR="00EC203A" w:rsidRPr="00D02E1D" w:rsidTr="007D0650">
        <w:trPr>
          <w:trHeight w:val="517"/>
        </w:trPr>
        <w:tc>
          <w:tcPr>
            <w:tcW w:w="964" w:type="dxa"/>
            <w:tcBorders>
              <w:top w:val="nil"/>
              <w:bottom w:val="single" w:sz="4" w:space="0" w:color="auto"/>
            </w:tcBorders>
          </w:tcPr>
          <w:p w:rsidR="00EC203A" w:rsidRDefault="00EC203A" w:rsidP="008B66A8">
            <w:pPr>
              <w:jc w:val="center"/>
              <w:rPr>
                <w:rFonts w:cs="Arial"/>
                <w:sz w:val="20"/>
                <w:szCs w:val="20"/>
              </w:rPr>
            </w:pPr>
          </w:p>
        </w:tc>
        <w:tc>
          <w:tcPr>
            <w:tcW w:w="9809" w:type="dxa"/>
            <w:tcBorders>
              <w:top w:val="nil"/>
              <w:bottom w:val="single" w:sz="4" w:space="0" w:color="auto"/>
            </w:tcBorders>
          </w:tcPr>
          <w:p w:rsidR="00EC203A" w:rsidRDefault="00EC203A" w:rsidP="00EC203A">
            <w:pPr>
              <w:rPr>
                <w:rFonts w:cs="Arial"/>
                <w:color w:val="000000" w:themeColor="text1"/>
                <w:sz w:val="20"/>
                <w:szCs w:val="20"/>
              </w:rPr>
            </w:pPr>
          </w:p>
          <w:p w:rsidR="00EC203A" w:rsidRDefault="00EC203A" w:rsidP="00EC203A">
            <w:pPr>
              <w:rPr>
                <w:rFonts w:cs="Arial"/>
                <w:color w:val="000000" w:themeColor="text1"/>
                <w:sz w:val="20"/>
                <w:szCs w:val="20"/>
              </w:rPr>
            </w:pPr>
            <w:r>
              <w:rPr>
                <w:rFonts w:cs="Arial"/>
                <w:color w:val="000000" w:themeColor="text1"/>
                <w:sz w:val="20"/>
                <w:szCs w:val="20"/>
              </w:rPr>
              <w:t>The Council is required to comply with HMRC IR35 rules when paying for</w:t>
            </w:r>
            <w:r w:rsidRPr="00E46C8D">
              <w:rPr>
                <w:rFonts w:cs="Arial"/>
                <w:color w:val="000000" w:themeColor="text1"/>
                <w:sz w:val="20"/>
                <w:szCs w:val="20"/>
              </w:rPr>
              <w:t xml:space="preserve"> services </w:t>
            </w:r>
            <w:r>
              <w:rPr>
                <w:rFonts w:cs="Arial"/>
                <w:color w:val="000000" w:themeColor="text1"/>
                <w:sz w:val="20"/>
                <w:szCs w:val="20"/>
              </w:rPr>
              <w:t xml:space="preserve">that are delivered </w:t>
            </w:r>
            <w:r w:rsidRPr="00E46C8D">
              <w:rPr>
                <w:rFonts w:cs="Arial"/>
                <w:color w:val="000000" w:themeColor="text1"/>
                <w:sz w:val="20"/>
                <w:szCs w:val="20"/>
              </w:rPr>
              <w:t>via an intermediary, such as a limited company, but who would be an employee if the intermediary was not used</w:t>
            </w:r>
            <w:r>
              <w:rPr>
                <w:rFonts w:cs="Arial"/>
                <w:color w:val="000000" w:themeColor="text1"/>
                <w:sz w:val="20"/>
                <w:szCs w:val="20"/>
              </w:rPr>
              <w:t>.   Currently o</w:t>
            </w:r>
            <w:r w:rsidRPr="00300CE1">
              <w:rPr>
                <w:rFonts w:cs="Arial"/>
                <w:color w:val="000000" w:themeColor="text1"/>
                <w:sz w:val="20"/>
                <w:szCs w:val="20"/>
              </w:rPr>
              <w:t xml:space="preserve">fficers requesting new suppliers to be set up on the creditors system do not currently confirm whether </w:t>
            </w:r>
            <w:r>
              <w:rPr>
                <w:rFonts w:cs="Arial"/>
                <w:color w:val="000000" w:themeColor="text1"/>
                <w:sz w:val="20"/>
                <w:szCs w:val="20"/>
              </w:rPr>
              <w:t xml:space="preserve">the </w:t>
            </w:r>
            <w:r w:rsidRPr="00300CE1">
              <w:rPr>
                <w:rFonts w:cs="Arial"/>
                <w:color w:val="000000" w:themeColor="text1"/>
                <w:sz w:val="20"/>
                <w:szCs w:val="20"/>
              </w:rPr>
              <w:t>HMRC employment status (IR35) checks</w:t>
            </w:r>
            <w:r>
              <w:rPr>
                <w:rFonts w:cs="Arial"/>
                <w:color w:val="000000" w:themeColor="text1"/>
                <w:sz w:val="20"/>
                <w:szCs w:val="20"/>
              </w:rPr>
              <w:t xml:space="preserve"> have been completed</w:t>
            </w:r>
            <w:r w:rsidRPr="00300CE1">
              <w:rPr>
                <w:rFonts w:cs="Arial"/>
                <w:color w:val="000000" w:themeColor="text1"/>
                <w:sz w:val="20"/>
                <w:szCs w:val="20"/>
              </w:rPr>
              <w:t>.</w:t>
            </w:r>
            <w:r>
              <w:rPr>
                <w:rFonts w:cs="Arial"/>
                <w:color w:val="000000" w:themeColor="text1"/>
                <w:sz w:val="20"/>
                <w:szCs w:val="20"/>
              </w:rPr>
              <w:t xml:space="preserve">  Incorporating the question and response into the process of procuring any consultants would improve controls in this area.</w:t>
            </w:r>
            <w:r w:rsidRPr="00300CE1">
              <w:rPr>
                <w:rFonts w:cs="Arial"/>
                <w:color w:val="000000" w:themeColor="text1"/>
                <w:sz w:val="20"/>
                <w:szCs w:val="20"/>
              </w:rPr>
              <w:t xml:space="preserve">  </w:t>
            </w:r>
          </w:p>
          <w:p w:rsidR="00EC203A" w:rsidRDefault="00EC203A" w:rsidP="008B66A8">
            <w:pPr>
              <w:rPr>
                <w:rFonts w:cs="Arial"/>
                <w:color w:val="000000" w:themeColor="text1"/>
                <w:sz w:val="20"/>
                <w:szCs w:val="20"/>
              </w:rPr>
            </w:pPr>
          </w:p>
        </w:tc>
      </w:tr>
      <w:tr w:rsidR="008B66A8" w:rsidRPr="00D02E1D" w:rsidTr="007D0650">
        <w:trPr>
          <w:trHeight w:val="517"/>
        </w:trPr>
        <w:tc>
          <w:tcPr>
            <w:tcW w:w="964" w:type="dxa"/>
            <w:tcBorders>
              <w:top w:val="single" w:sz="4" w:space="0" w:color="auto"/>
              <w:bottom w:val="nil"/>
            </w:tcBorders>
          </w:tcPr>
          <w:p w:rsidR="008B66A8" w:rsidRDefault="008B66A8" w:rsidP="008B66A8">
            <w:pPr>
              <w:jc w:val="center"/>
              <w:rPr>
                <w:rFonts w:cs="Arial"/>
                <w:sz w:val="20"/>
                <w:szCs w:val="20"/>
              </w:rPr>
            </w:pPr>
            <w:r>
              <w:rPr>
                <w:rFonts w:cs="Arial"/>
                <w:sz w:val="20"/>
                <w:szCs w:val="20"/>
              </w:rPr>
              <w:lastRenderedPageBreak/>
              <w:t>3.</w:t>
            </w:r>
            <w:r w:rsidR="00877D4D">
              <w:rPr>
                <w:rFonts w:cs="Arial"/>
                <w:sz w:val="20"/>
                <w:szCs w:val="20"/>
              </w:rPr>
              <w:t>1</w:t>
            </w:r>
            <w:r w:rsidR="00DA2D3B">
              <w:rPr>
                <w:rFonts w:cs="Arial"/>
                <w:sz w:val="20"/>
                <w:szCs w:val="20"/>
              </w:rPr>
              <w:t>0</w:t>
            </w:r>
          </w:p>
        </w:tc>
        <w:tc>
          <w:tcPr>
            <w:tcW w:w="9809" w:type="dxa"/>
            <w:tcBorders>
              <w:top w:val="single" w:sz="4" w:space="0" w:color="auto"/>
              <w:bottom w:val="nil"/>
            </w:tcBorders>
          </w:tcPr>
          <w:p w:rsidR="008B66A8" w:rsidRPr="00860231" w:rsidRDefault="008B66A8" w:rsidP="008B66A8">
            <w:pPr>
              <w:rPr>
                <w:rFonts w:cs="Arial"/>
                <w:color w:val="000000" w:themeColor="text1"/>
                <w:sz w:val="20"/>
                <w:szCs w:val="20"/>
              </w:rPr>
            </w:pPr>
            <w:r>
              <w:rPr>
                <w:rFonts w:cs="Arial"/>
                <w:color w:val="000000" w:themeColor="text1"/>
                <w:sz w:val="20"/>
                <w:szCs w:val="20"/>
              </w:rPr>
              <w:t>Significantly more</w:t>
            </w:r>
            <w:r w:rsidRPr="00860231">
              <w:rPr>
                <w:rFonts w:cs="Arial"/>
                <w:color w:val="000000" w:themeColor="text1"/>
                <w:sz w:val="20"/>
                <w:szCs w:val="20"/>
              </w:rPr>
              <w:t xml:space="preserve"> orders have been raised by South Ribble Council compared to Chorley Council.  </w:t>
            </w:r>
            <w:r>
              <w:rPr>
                <w:rFonts w:cs="Arial"/>
                <w:color w:val="000000" w:themeColor="text1"/>
                <w:sz w:val="20"/>
                <w:szCs w:val="20"/>
              </w:rPr>
              <w:t xml:space="preserve">This may indicate that orders are being raised excessively.  </w:t>
            </w:r>
          </w:p>
          <w:p w:rsidR="008B66A8" w:rsidRDefault="008B66A8" w:rsidP="008B66A8">
            <w:pPr>
              <w:pStyle w:val="ListParagraph"/>
              <w:ind w:left="360"/>
              <w:rPr>
                <w:rFonts w:cs="Arial"/>
                <w:color w:val="000000" w:themeColor="text1"/>
                <w:sz w:val="20"/>
                <w:szCs w:val="20"/>
              </w:rPr>
            </w:pPr>
          </w:p>
          <w:p w:rsidR="008B66A8" w:rsidRPr="00860231" w:rsidRDefault="008B66A8" w:rsidP="008B66A8">
            <w:pPr>
              <w:rPr>
                <w:rFonts w:cs="Arial"/>
                <w:b/>
                <w:color w:val="000000" w:themeColor="text1"/>
                <w:sz w:val="20"/>
                <w:szCs w:val="20"/>
              </w:rPr>
            </w:pPr>
            <w:r w:rsidRPr="00860231">
              <w:rPr>
                <w:rFonts w:cs="Arial"/>
                <w:b/>
                <w:color w:val="000000" w:themeColor="text1"/>
                <w:sz w:val="20"/>
                <w:szCs w:val="20"/>
              </w:rPr>
              <w:t>Month</w:t>
            </w:r>
            <w:r w:rsidRPr="00860231">
              <w:rPr>
                <w:rFonts w:cs="Arial"/>
                <w:b/>
                <w:color w:val="000000" w:themeColor="text1"/>
                <w:sz w:val="20"/>
                <w:szCs w:val="20"/>
              </w:rPr>
              <w:tab/>
            </w:r>
            <w:r w:rsidRPr="00860231">
              <w:rPr>
                <w:rFonts w:cs="Arial"/>
                <w:b/>
                <w:color w:val="000000" w:themeColor="text1"/>
                <w:sz w:val="20"/>
                <w:szCs w:val="20"/>
              </w:rPr>
              <w:tab/>
            </w:r>
            <w:r>
              <w:rPr>
                <w:rFonts w:cs="Arial"/>
                <w:b/>
                <w:color w:val="000000" w:themeColor="text1"/>
                <w:sz w:val="20"/>
                <w:szCs w:val="20"/>
              </w:rPr>
              <w:tab/>
            </w:r>
            <w:r w:rsidRPr="00860231">
              <w:rPr>
                <w:rFonts w:cs="Arial"/>
                <w:b/>
                <w:color w:val="000000" w:themeColor="text1"/>
                <w:sz w:val="20"/>
                <w:szCs w:val="20"/>
              </w:rPr>
              <w:t>SRBC</w:t>
            </w:r>
            <w:r w:rsidRPr="00860231">
              <w:rPr>
                <w:rFonts w:cs="Arial"/>
                <w:b/>
                <w:color w:val="000000" w:themeColor="text1"/>
                <w:sz w:val="20"/>
                <w:szCs w:val="20"/>
              </w:rPr>
              <w:tab/>
            </w:r>
            <w:r w:rsidRPr="00860231">
              <w:rPr>
                <w:rFonts w:cs="Arial"/>
                <w:b/>
                <w:color w:val="000000" w:themeColor="text1"/>
                <w:sz w:val="20"/>
                <w:szCs w:val="20"/>
              </w:rPr>
              <w:tab/>
              <w:t>CBC</w:t>
            </w:r>
          </w:p>
          <w:p w:rsidR="008B66A8" w:rsidRPr="00860231" w:rsidRDefault="008B66A8" w:rsidP="008B66A8">
            <w:pPr>
              <w:rPr>
                <w:rFonts w:cs="Arial"/>
                <w:color w:val="000000" w:themeColor="text1"/>
                <w:sz w:val="20"/>
                <w:szCs w:val="20"/>
              </w:rPr>
            </w:pPr>
            <w:r w:rsidRPr="00860231">
              <w:rPr>
                <w:rFonts w:cs="Arial"/>
                <w:color w:val="000000" w:themeColor="text1"/>
                <w:sz w:val="20"/>
                <w:szCs w:val="20"/>
              </w:rPr>
              <w:t>September 2018</w:t>
            </w:r>
            <w:r w:rsidRPr="00860231">
              <w:rPr>
                <w:rFonts w:cs="Arial"/>
                <w:color w:val="000000" w:themeColor="text1"/>
                <w:sz w:val="20"/>
                <w:szCs w:val="20"/>
              </w:rPr>
              <w:tab/>
              <w:t>325</w:t>
            </w:r>
            <w:r w:rsidRPr="00860231">
              <w:rPr>
                <w:rFonts w:cs="Arial"/>
                <w:color w:val="000000" w:themeColor="text1"/>
                <w:sz w:val="20"/>
                <w:szCs w:val="20"/>
              </w:rPr>
              <w:tab/>
            </w:r>
            <w:r w:rsidRPr="00860231">
              <w:rPr>
                <w:rFonts w:cs="Arial"/>
                <w:color w:val="000000" w:themeColor="text1"/>
                <w:sz w:val="20"/>
                <w:szCs w:val="20"/>
              </w:rPr>
              <w:tab/>
              <w:t>242</w:t>
            </w:r>
          </w:p>
          <w:p w:rsidR="008B66A8" w:rsidRPr="00860231" w:rsidRDefault="008B66A8" w:rsidP="008B66A8">
            <w:pPr>
              <w:rPr>
                <w:rFonts w:cs="Arial"/>
                <w:color w:val="000000" w:themeColor="text1"/>
                <w:sz w:val="20"/>
                <w:szCs w:val="20"/>
              </w:rPr>
            </w:pPr>
            <w:r w:rsidRPr="00860231">
              <w:rPr>
                <w:rFonts w:cs="Arial"/>
                <w:color w:val="000000" w:themeColor="text1"/>
                <w:sz w:val="20"/>
                <w:szCs w:val="20"/>
              </w:rPr>
              <w:t>March 2019</w:t>
            </w:r>
            <w:r w:rsidRPr="00860231">
              <w:rPr>
                <w:rFonts w:cs="Arial"/>
                <w:color w:val="000000" w:themeColor="text1"/>
                <w:sz w:val="20"/>
                <w:szCs w:val="20"/>
              </w:rPr>
              <w:tab/>
            </w:r>
            <w:r w:rsidRPr="00860231">
              <w:rPr>
                <w:rFonts w:cs="Arial"/>
                <w:color w:val="000000" w:themeColor="text1"/>
                <w:sz w:val="20"/>
                <w:szCs w:val="20"/>
              </w:rPr>
              <w:tab/>
              <w:t>433</w:t>
            </w:r>
            <w:r w:rsidRPr="00860231">
              <w:rPr>
                <w:rFonts w:cs="Arial"/>
                <w:color w:val="000000" w:themeColor="text1"/>
                <w:sz w:val="20"/>
                <w:szCs w:val="20"/>
              </w:rPr>
              <w:tab/>
            </w:r>
            <w:r w:rsidRPr="00860231">
              <w:rPr>
                <w:rFonts w:cs="Arial"/>
                <w:color w:val="000000" w:themeColor="text1"/>
                <w:sz w:val="20"/>
                <w:szCs w:val="20"/>
              </w:rPr>
              <w:tab/>
              <w:t>293</w:t>
            </w:r>
            <w:r w:rsidRPr="00860231">
              <w:rPr>
                <w:rFonts w:cs="Arial"/>
                <w:color w:val="000000" w:themeColor="text1"/>
                <w:sz w:val="20"/>
                <w:szCs w:val="20"/>
              </w:rPr>
              <w:tab/>
            </w:r>
          </w:p>
          <w:p w:rsidR="008B66A8" w:rsidRDefault="008B66A8" w:rsidP="008B66A8">
            <w:pPr>
              <w:rPr>
                <w:rFonts w:cs="Arial"/>
                <w:color w:val="000000" w:themeColor="text1"/>
                <w:sz w:val="20"/>
                <w:szCs w:val="20"/>
              </w:rPr>
            </w:pPr>
            <w:r>
              <w:rPr>
                <w:rFonts w:cs="Arial"/>
                <w:color w:val="000000" w:themeColor="text1"/>
                <w:sz w:val="20"/>
                <w:szCs w:val="20"/>
              </w:rPr>
              <w:t>September 2019</w:t>
            </w:r>
            <w:r>
              <w:rPr>
                <w:rFonts w:cs="Arial"/>
                <w:color w:val="000000" w:themeColor="text1"/>
                <w:sz w:val="20"/>
                <w:szCs w:val="20"/>
              </w:rPr>
              <w:tab/>
              <w:t>439</w:t>
            </w:r>
            <w:r>
              <w:rPr>
                <w:rFonts w:cs="Arial"/>
                <w:color w:val="000000" w:themeColor="text1"/>
                <w:sz w:val="20"/>
                <w:szCs w:val="20"/>
              </w:rPr>
              <w:tab/>
            </w:r>
            <w:r>
              <w:rPr>
                <w:rFonts w:cs="Arial"/>
                <w:color w:val="000000" w:themeColor="text1"/>
                <w:sz w:val="20"/>
                <w:szCs w:val="20"/>
              </w:rPr>
              <w:tab/>
              <w:t>247</w:t>
            </w:r>
          </w:p>
          <w:p w:rsidR="008B66A8" w:rsidRDefault="008B66A8" w:rsidP="008B66A8">
            <w:pPr>
              <w:rPr>
                <w:rFonts w:cs="Arial"/>
                <w:color w:val="000000" w:themeColor="text1"/>
                <w:sz w:val="20"/>
                <w:szCs w:val="20"/>
              </w:rPr>
            </w:pPr>
          </w:p>
        </w:tc>
      </w:tr>
      <w:tr w:rsidR="008B66A8" w:rsidRPr="00D02E1D" w:rsidTr="005D1D11">
        <w:trPr>
          <w:trHeight w:val="517"/>
        </w:trPr>
        <w:tc>
          <w:tcPr>
            <w:tcW w:w="964" w:type="dxa"/>
            <w:tcBorders>
              <w:top w:val="nil"/>
              <w:bottom w:val="nil"/>
            </w:tcBorders>
          </w:tcPr>
          <w:p w:rsidR="008B66A8" w:rsidRPr="00D02E1D" w:rsidRDefault="008B66A8" w:rsidP="008B66A8">
            <w:pPr>
              <w:jc w:val="center"/>
              <w:rPr>
                <w:rFonts w:cs="Arial"/>
                <w:sz w:val="20"/>
                <w:szCs w:val="20"/>
              </w:rPr>
            </w:pPr>
            <w:r w:rsidRPr="00D02E1D">
              <w:rPr>
                <w:rFonts w:cs="Arial"/>
                <w:sz w:val="20"/>
                <w:szCs w:val="20"/>
              </w:rPr>
              <w:t>3.</w:t>
            </w:r>
            <w:r w:rsidR="00877D4D">
              <w:rPr>
                <w:rFonts w:cs="Arial"/>
                <w:sz w:val="20"/>
                <w:szCs w:val="20"/>
              </w:rPr>
              <w:t>1</w:t>
            </w:r>
            <w:r w:rsidR="00DA2D3B">
              <w:rPr>
                <w:rFonts w:cs="Arial"/>
                <w:sz w:val="20"/>
                <w:szCs w:val="20"/>
              </w:rPr>
              <w:t>1</w:t>
            </w:r>
          </w:p>
        </w:tc>
        <w:tc>
          <w:tcPr>
            <w:tcW w:w="9809" w:type="dxa"/>
            <w:tcBorders>
              <w:top w:val="nil"/>
              <w:bottom w:val="nil"/>
            </w:tcBorders>
          </w:tcPr>
          <w:p w:rsidR="008B66A8" w:rsidRDefault="00EF4681" w:rsidP="008B66A8">
            <w:pPr>
              <w:rPr>
                <w:rFonts w:cs="Arial"/>
                <w:color w:val="000000" w:themeColor="text1"/>
                <w:sz w:val="20"/>
                <w:szCs w:val="20"/>
              </w:rPr>
            </w:pPr>
            <w:r>
              <w:rPr>
                <w:rFonts w:cs="Arial"/>
                <w:color w:val="000000" w:themeColor="text1"/>
                <w:sz w:val="20"/>
                <w:szCs w:val="20"/>
              </w:rPr>
              <w:t>Purchasing and creditor payment u</w:t>
            </w:r>
            <w:r w:rsidR="00027866">
              <w:rPr>
                <w:rFonts w:cs="Arial"/>
                <w:color w:val="000000" w:themeColor="text1"/>
                <w:sz w:val="20"/>
                <w:szCs w:val="20"/>
              </w:rPr>
              <w:t xml:space="preserve">ser access levels should be </w:t>
            </w:r>
            <w:r>
              <w:rPr>
                <w:rFonts w:cs="Arial"/>
                <w:color w:val="000000" w:themeColor="text1"/>
                <w:sz w:val="20"/>
                <w:szCs w:val="20"/>
              </w:rPr>
              <w:t xml:space="preserve">reviewed to ensure they remain up to date and relevant. </w:t>
            </w:r>
            <w:r w:rsidR="00027866" w:rsidRPr="00027866">
              <w:rPr>
                <w:rFonts w:cs="Arial"/>
                <w:color w:val="000000" w:themeColor="text1"/>
                <w:sz w:val="20"/>
                <w:szCs w:val="20"/>
              </w:rPr>
              <w:t xml:space="preserve">The Interim Financial Services Manager </w:t>
            </w:r>
            <w:r w:rsidR="00027866">
              <w:rPr>
                <w:rFonts w:cs="Arial"/>
                <w:color w:val="000000" w:themeColor="text1"/>
                <w:sz w:val="20"/>
                <w:szCs w:val="20"/>
              </w:rPr>
              <w:t xml:space="preserve">has agreed with External Audit that budget holders will review </w:t>
            </w:r>
            <w:r w:rsidR="00027866" w:rsidRPr="00027866">
              <w:rPr>
                <w:rFonts w:cs="Arial"/>
                <w:color w:val="000000" w:themeColor="text1"/>
                <w:sz w:val="20"/>
                <w:szCs w:val="20"/>
              </w:rPr>
              <w:t>purchase order and invoice authorisers access levels</w:t>
            </w:r>
            <w:r w:rsidR="00027866">
              <w:rPr>
                <w:rFonts w:cs="Arial"/>
                <w:color w:val="000000" w:themeColor="text1"/>
                <w:sz w:val="20"/>
                <w:szCs w:val="20"/>
              </w:rPr>
              <w:t xml:space="preserve"> </w:t>
            </w:r>
            <w:r w:rsidR="008B66A8">
              <w:rPr>
                <w:rFonts w:cs="Arial"/>
                <w:color w:val="000000" w:themeColor="text1"/>
                <w:sz w:val="20"/>
                <w:szCs w:val="20"/>
              </w:rPr>
              <w:t xml:space="preserve">on a 2-yearly </w:t>
            </w:r>
            <w:r w:rsidR="00027866">
              <w:rPr>
                <w:rFonts w:cs="Arial"/>
                <w:color w:val="000000" w:themeColor="text1"/>
                <w:sz w:val="20"/>
                <w:szCs w:val="20"/>
              </w:rPr>
              <w:t>basis or following a major restructure (whichever is the sooner)</w:t>
            </w:r>
            <w:r w:rsidR="008B66A8">
              <w:rPr>
                <w:rFonts w:cs="Arial"/>
                <w:color w:val="000000" w:themeColor="text1"/>
                <w:sz w:val="20"/>
                <w:szCs w:val="20"/>
              </w:rPr>
              <w:t>.</w:t>
            </w:r>
            <w:r w:rsidR="00300CE1">
              <w:rPr>
                <w:rFonts w:cs="Arial"/>
                <w:color w:val="000000" w:themeColor="text1"/>
                <w:sz w:val="20"/>
                <w:szCs w:val="20"/>
              </w:rPr>
              <w:t xml:space="preserve">  </w:t>
            </w:r>
            <w:r w:rsidR="00027866">
              <w:rPr>
                <w:rFonts w:cs="Arial"/>
                <w:color w:val="000000" w:themeColor="text1"/>
                <w:sz w:val="20"/>
                <w:szCs w:val="20"/>
              </w:rPr>
              <w:t>A review is</w:t>
            </w:r>
            <w:r w:rsidR="00300CE1">
              <w:rPr>
                <w:rFonts w:cs="Arial"/>
                <w:color w:val="000000" w:themeColor="text1"/>
                <w:sz w:val="20"/>
                <w:szCs w:val="20"/>
              </w:rPr>
              <w:t xml:space="preserve"> currently being undertaken and</w:t>
            </w:r>
            <w:r w:rsidR="00027866">
              <w:rPr>
                <w:rFonts w:cs="Arial"/>
                <w:color w:val="000000" w:themeColor="text1"/>
                <w:sz w:val="20"/>
                <w:szCs w:val="20"/>
              </w:rPr>
              <w:t xml:space="preserve"> has been incorporated in</w:t>
            </w:r>
            <w:r w:rsidR="00300CE1">
              <w:rPr>
                <w:rFonts w:cs="Arial"/>
                <w:color w:val="000000" w:themeColor="text1"/>
                <w:sz w:val="20"/>
                <w:szCs w:val="20"/>
              </w:rPr>
              <w:t xml:space="preserve"> t</w:t>
            </w:r>
            <w:r w:rsidR="008B66A8">
              <w:rPr>
                <w:rFonts w:cs="Arial"/>
                <w:color w:val="000000" w:themeColor="text1"/>
                <w:sz w:val="20"/>
                <w:szCs w:val="20"/>
              </w:rPr>
              <w:t xml:space="preserve">he Shared Financial and Assurance Services Service Plan 2019/20.  </w:t>
            </w:r>
          </w:p>
          <w:p w:rsidR="008B66A8" w:rsidRPr="00D02E1D" w:rsidRDefault="008B66A8" w:rsidP="008B66A8">
            <w:pPr>
              <w:rPr>
                <w:rFonts w:cs="Arial"/>
                <w:color w:val="000000" w:themeColor="text1"/>
                <w:sz w:val="20"/>
                <w:szCs w:val="20"/>
              </w:rPr>
            </w:pPr>
          </w:p>
        </w:tc>
      </w:tr>
      <w:tr w:rsidR="008B66A8" w:rsidRPr="00D02E1D" w:rsidTr="005D1D11">
        <w:trPr>
          <w:trHeight w:val="517"/>
        </w:trPr>
        <w:tc>
          <w:tcPr>
            <w:tcW w:w="964" w:type="dxa"/>
            <w:tcBorders>
              <w:top w:val="nil"/>
              <w:bottom w:val="nil"/>
            </w:tcBorders>
          </w:tcPr>
          <w:p w:rsidR="008B66A8" w:rsidRDefault="008B66A8" w:rsidP="008B66A8">
            <w:pPr>
              <w:jc w:val="center"/>
              <w:rPr>
                <w:rFonts w:cs="Arial"/>
                <w:sz w:val="20"/>
                <w:szCs w:val="20"/>
              </w:rPr>
            </w:pPr>
            <w:r w:rsidRPr="00D02E1D">
              <w:rPr>
                <w:rFonts w:cs="Arial"/>
                <w:sz w:val="20"/>
                <w:szCs w:val="20"/>
              </w:rPr>
              <w:t>3.</w:t>
            </w:r>
            <w:r w:rsidR="00877D4D">
              <w:rPr>
                <w:rFonts w:cs="Arial"/>
                <w:sz w:val="20"/>
                <w:szCs w:val="20"/>
              </w:rPr>
              <w:t>1</w:t>
            </w:r>
            <w:r w:rsidR="00DA2D3B">
              <w:rPr>
                <w:rFonts w:cs="Arial"/>
                <w:sz w:val="20"/>
                <w:szCs w:val="20"/>
              </w:rPr>
              <w:t>2</w:t>
            </w:r>
          </w:p>
          <w:p w:rsidR="00877D4D" w:rsidRDefault="00877D4D" w:rsidP="008B66A8">
            <w:pPr>
              <w:jc w:val="center"/>
              <w:rPr>
                <w:rFonts w:cs="Arial"/>
                <w:sz w:val="20"/>
                <w:szCs w:val="20"/>
              </w:rPr>
            </w:pPr>
          </w:p>
          <w:p w:rsidR="00877D4D" w:rsidRDefault="00877D4D" w:rsidP="008B66A8">
            <w:pPr>
              <w:jc w:val="center"/>
              <w:rPr>
                <w:rFonts w:cs="Arial"/>
                <w:sz w:val="20"/>
                <w:szCs w:val="20"/>
              </w:rPr>
            </w:pPr>
          </w:p>
          <w:p w:rsidR="00877D4D" w:rsidRDefault="00877D4D" w:rsidP="008B66A8">
            <w:pPr>
              <w:jc w:val="center"/>
              <w:rPr>
                <w:rFonts w:cs="Arial"/>
                <w:sz w:val="20"/>
                <w:szCs w:val="20"/>
              </w:rPr>
            </w:pPr>
          </w:p>
          <w:p w:rsidR="00877D4D" w:rsidRDefault="00877D4D" w:rsidP="008B66A8">
            <w:pPr>
              <w:jc w:val="center"/>
              <w:rPr>
                <w:rFonts w:cs="Arial"/>
                <w:sz w:val="20"/>
                <w:szCs w:val="20"/>
              </w:rPr>
            </w:pPr>
            <w:r>
              <w:rPr>
                <w:rFonts w:cs="Arial"/>
                <w:sz w:val="20"/>
                <w:szCs w:val="20"/>
              </w:rPr>
              <w:t>3.1</w:t>
            </w:r>
            <w:r w:rsidR="00DA2D3B">
              <w:rPr>
                <w:rFonts w:cs="Arial"/>
                <w:sz w:val="20"/>
                <w:szCs w:val="20"/>
              </w:rPr>
              <w:t>3</w:t>
            </w:r>
          </w:p>
          <w:p w:rsidR="00877D4D" w:rsidRPr="00D02E1D" w:rsidRDefault="00877D4D" w:rsidP="00CF3A08">
            <w:pPr>
              <w:rPr>
                <w:rFonts w:cs="Arial"/>
                <w:sz w:val="20"/>
                <w:szCs w:val="20"/>
              </w:rPr>
            </w:pPr>
          </w:p>
        </w:tc>
        <w:tc>
          <w:tcPr>
            <w:tcW w:w="9809" w:type="dxa"/>
            <w:tcBorders>
              <w:top w:val="nil"/>
              <w:bottom w:val="nil"/>
            </w:tcBorders>
          </w:tcPr>
          <w:p w:rsidR="008B66A8" w:rsidRPr="00D02E1D" w:rsidRDefault="008B66A8" w:rsidP="008B66A8">
            <w:pPr>
              <w:rPr>
                <w:rFonts w:cs="Arial"/>
                <w:color w:val="000000" w:themeColor="text1"/>
                <w:sz w:val="20"/>
                <w:szCs w:val="20"/>
              </w:rPr>
            </w:pPr>
            <w:r w:rsidRPr="00D02E1D">
              <w:rPr>
                <w:rFonts w:cs="Arial"/>
                <w:color w:val="000000" w:themeColor="text1"/>
                <w:sz w:val="20"/>
                <w:szCs w:val="20"/>
              </w:rPr>
              <w:t xml:space="preserve">The system to allow the </w:t>
            </w:r>
            <w:r>
              <w:rPr>
                <w:rFonts w:cs="Arial"/>
                <w:color w:val="000000" w:themeColor="text1"/>
                <w:sz w:val="20"/>
                <w:szCs w:val="20"/>
              </w:rPr>
              <w:t xml:space="preserve">Purchasing </w:t>
            </w:r>
            <w:r w:rsidRPr="00D02E1D">
              <w:rPr>
                <w:rFonts w:cs="Arial"/>
                <w:color w:val="000000" w:themeColor="text1"/>
                <w:sz w:val="20"/>
                <w:szCs w:val="20"/>
              </w:rPr>
              <w:t>System Administrator to take over a user accoun</w:t>
            </w:r>
            <w:r>
              <w:rPr>
                <w:rFonts w:cs="Arial"/>
                <w:color w:val="000000" w:themeColor="text1"/>
                <w:sz w:val="20"/>
                <w:szCs w:val="20"/>
              </w:rPr>
              <w:t xml:space="preserve">t </w:t>
            </w:r>
            <w:r w:rsidRPr="00D02E1D">
              <w:rPr>
                <w:rFonts w:cs="Arial"/>
                <w:color w:val="000000" w:themeColor="text1"/>
                <w:sz w:val="20"/>
                <w:szCs w:val="20"/>
              </w:rPr>
              <w:t xml:space="preserve">is generally robust, although improvements could be made to the retention of evidence which demonstrates that a user has given their permission.  Should an issue arise it may be difficult to prove that permission was given.   </w:t>
            </w:r>
          </w:p>
          <w:p w:rsidR="008B66A8" w:rsidRPr="00D02E1D" w:rsidRDefault="008B66A8" w:rsidP="008B66A8">
            <w:pPr>
              <w:rPr>
                <w:rFonts w:cs="Arial"/>
                <w:color w:val="000000" w:themeColor="text1"/>
                <w:sz w:val="20"/>
                <w:szCs w:val="20"/>
              </w:rPr>
            </w:pPr>
          </w:p>
          <w:p w:rsidR="008B66A8" w:rsidRPr="00D02E1D" w:rsidRDefault="008B66A8" w:rsidP="007F2F6A">
            <w:pPr>
              <w:rPr>
                <w:rFonts w:cs="Arial"/>
                <w:color w:val="000000" w:themeColor="text1"/>
                <w:sz w:val="20"/>
                <w:szCs w:val="20"/>
              </w:rPr>
            </w:pPr>
            <w:r w:rsidRPr="00D02E1D">
              <w:rPr>
                <w:rFonts w:cs="Arial"/>
                <w:color w:val="000000" w:themeColor="text1"/>
                <w:sz w:val="20"/>
                <w:szCs w:val="20"/>
              </w:rPr>
              <w:t>Additionally, there is a lack of supervisory review over the Admin Users Log.  There is an opportunity for the Financial Systems Manager to check that this function is used appropriately, potentially identifying areas for improvement that could lead to more effective use of the Systems Team.  It should be noted that this function is currently only available at Chorley Council.</w:t>
            </w:r>
          </w:p>
        </w:tc>
      </w:tr>
      <w:tr w:rsidR="008B66A8" w:rsidRPr="00D02E1D" w:rsidTr="006C4A9A">
        <w:trPr>
          <w:trHeight w:val="80"/>
        </w:trPr>
        <w:tc>
          <w:tcPr>
            <w:tcW w:w="964" w:type="dxa"/>
            <w:tcBorders>
              <w:top w:val="nil"/>
              <w:bottom w:val="single" w:sz="4" w:space="0" w:color="auto"/>
            </w:tcBorders>
          </w:tcPr>
          <w:p w:rsidR="008B66A8" w:rsidRPr="00D02E1D" w:rsidRDefault="008B66A8" w:rsidP="008B66A8">
            <w:pPr>
              <w:jc w:val="center"/>
              <w:rPr>
                <w:rFonts w:cs="Arial"/>
                <w:sz w:val="20"/>
                <w:szCs w:val="20"/>
              </w:rPr>
            </w:pPr>
          </w:p>
        </w:tc>
        <w:tc>
          <w:tcPr>
            <w:tcW w:w="9809" w:type="dxa"/>
            <w:tcBorders>
              <w:top w:val="nil"/>
              <w:bottom w:val="single" w:sz="4" w:space="0" w:color="auto"/>
            </w:tcBorders>
          </w:tcPr>
          <w:p w:rsidR="008B66A8" w:rsidRPr="00D02E1D" w:rsidRDefault="008B66A8" w:rsidP="008B66A8">
            <w:pPr>
              <w:rPr>
                <w:rFonts w:cs="Arial"/>
                <w:color w:val="000000" w:themeColor="text1"/>
                <w:sz w:val="20"/>
                <w:szCs w:val="20"/>
              </w:rPr>
            </w:pPr>
          </w:p>
        </w:tc>
      </w:tr>
    </w:tbl>
    <w:p w:rsidR="00CF3A08" w:rsidRDefault="00CF3A08" w:rsidP="003F2FA7">
      <w:pPr>
        <w:pStyle w:val="Default"/>
        <w:rPr>
          <w:b/>
          <w:sz w:val="20"/>
          <w:szCs w:val="20"/>
        </w:rPr>
      </w:pPr>
    </w:p>
    <w:tbl>
      <w:tblPr>
        <w:tblW w:w="10773" w:type="dxa"/>
        <w:tblInd w:w="-5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64"/>
        <w:gridCol w:w="9809"/>
      </w:tblGrid>
      <w:tr w:rsidR="00CF3A08" w:rsidRPr="00D02E1D" w:rsidTr="0054604C">
        <w:tc>
          <w:tcPr>
            <w:tcW w:w="964" w:type="dxa"/>
            <w:tcBorders>
              <w:bottom w:val="single" w:sz="6" w:space="0" w:color="auto"/>
            </w:tcBorders>
            <w:shd w:val="clear" w:color="auto" w:fill="B8CCE4" w:themeFill="accent1" w:themeFillTint="66"/>
          </w:tcPr>
          <w:p w:rsidR="00CF3A08" w:rsidRPr="00D02E1D" w:rsidRDefault="00CF3A08" w:rsidP="00075FF9">
            <w:pPr>
              <w:jc w:val="center"/>
              <w:rPr>
                <w:rFonts w:cs="Arial"/>
                <w:b/>
                <w:sz w:val="20"/>
                <w:szCs w:val="20"/>
              </w:rPr>
            </w:pPr>
            <w:r w:rsidRPr="00D02E1D">
              <w:rPr>
                <w:rFonts w:cs="Arial"/>
                <w:sz w:val="20"/>
                <w:szCs w:val="20"/>
              </w:rPr>
              <w:br w:type="page"/>
            </w:r>
            <w:r>
              <w:rPr>
                <w:rFonts w:cs="Arial"/>
                <w:b/>
                <w:sz w:val="20"/>
                <w:szCs w:val="20"/>
              </w:rPr>
              <w:t>4</w:t>
            </w:r>
          </w:p>
        </w:tc>
        <w:tc>
          <w:tcPr>
            <w:tcW w:w="9809" w:type="dxa"/>
            <w:tcBorders>
              <w:bottom w:val="single" w:sz="6" w:space="0" w:color="auto"/>
            </w:tcBorders>
            <w:shd w:val="clear" w:color="auto" w:fill="B8CCE4" w:themeFill="accent1" w:themeFillTint="66"/>
          </w:tcPr>
          <w:p w:rsidR="00CF3A08" w:rsidRPr="00D02E1D" w:rsidRDefault="00CF3A08" w:rsidP="00075FF9">
            <w:pPr>
              <w:rPr>
                <w:rFonts w:cs="Arial"/>
                <w:b/>
                <w:sz w:val="20"/>
                <w:szCs w:val="20"/>
              </w:rPr>
            </w:pPr>
            <w:r>
              <w:rPr>
                <w:rFonts w:cs="Arial"/>
                <w:b/>
                <w:sz w:val="20"/>
                <w:szCs w:val="20"/>
              </w:rPr>
              <w:t>CONCLUSION</w:t>
            </w:r>
          </w:p>
        </w:tc>
      </w:tr>
      <w:tr w:rsidR="00CF3A08" w:rsidRPr="00D02E1D" w:rsidTr="0054604C">
        <w:tc>
          <w:tcPr>
            <w:tcW w:w="964" w:type="dxa"/>
            <w:tcBorders>
              <w:top w:val="single" w:sz="6" w:space="0" w:color="auto"/>
              <w:bottom w:val="single" w:sz="4" w:space="0" w:color="auto"/>
            </w:tcBorders>
            <w:shd w:val="clear" w:color="auto" w:fill="auto"/>
          </w:tcPr>
          <w:p w:rsidR="00CF3A08" w:rsidRPr="00D02E1D" w:rsidRDefault="00CF3A08" w:rsidP="00075FF9">
            <w:pPr>
              <w:jc w:val="center"/>
              <w:rPr>
                <w:rFonts w:cs="Arial"/>
                <w:sz w:val="20"/>
                <w:szCs w:val="20"/>
              </w:rPr>
            </w:pPr>
            <w:r>
              <w:rPr>
                <w:rFonts w:cs="Arial"/>
                <w:sz w:val="20"/>
                <w:szCs w:val="20"/>
              </w:rPr>
              <w:t>4.1</w:t>
            </w:r>
          </w:p>
        </w:tc>
        <w:tc>
          <w:tcPr>
            <w:tcW w:w="9809" w:type="dxa"/>
            <w:tcBorders>
              <w:top w:val="single" w:sz="6" w:space="0" w:color="auto"/>
              <w:bottom w:val="single" w:sz="4" w:space="0" w:color="auto"/>
            </w:tcBorders>
            <w:shd w:val="clear" w:color="auto" w:fill="auto"/>
          </w:tcPr>
          <w:p w:rsidR="000D4856" w:rsidRDefault="007B2BE6" w:rsidP="00075FF9">
            <w:pPr>
              <w:rPr>
                <w:rFonts w:cs="Arial"/>
                <w:color w:val="000000" w:themeColor="text1"/>
                <w:sz w:val="20"/>
                <w:szCs w:val="20"/>
              </w:rPr>
            </w:pPr>
            <w:r>
              <w:rPr>
                <w:rFonts w:cs="Arial"/>
                <w:color w:val="000000" w:themeColor="text1"/>
                <w:sz w:val="20"/>
                <w:szCs w:val="20"/>
              </w:rPr>
              <w:t xml:space="preserve">The findings constitute </w:t>
            </w:r>
            <w:r w:rsidR="001C014A">
              <w:rPr>
                <w:rFonts w:cs="Arial"/>
                <w:color w:val="000000" w:themeColor="text1"/>
                <w:sz w:val="20"/>
                <w:szCs w:val="20"/>
              </w:rPr>
              <w:t>significant</w:t>
            </w:r>
            <w:r>
              <w:rPr>
                <w:rFonts w:cs="Arial"/>
                <w:color w:val="000000" w:themeColor="text1"/>
                <w:sz w:val="20"/>
                <w:szCs w:val="20"/>
              </w:rPr>
              <w:t xml:space="preserve"> breaches of the Council’s Financial Procedure Rules / Regulations</w:t>
            </w:r>
            <w:r w:rsidR="001C014A">
              <w:rPr>
                <w:rFonts w:cs="Arial"/>
                <w:color w:val="000000" w:themeColor="text1"/>
                <w:sz w:val="20"/>
                <w:szCs w:val="20"/>
              </w:rPr>
              <w:t xml:space="preserve">,  there has been a </w:t>
            </w:r>
            <w:r w:rsidR="001C014A" w:rsidRPr="00B07B3C">
              <w:rPr>
                <w:sz w:val="20"/>
                <w:szCs w:val="20"/>
              </w:rPr>
              <w:t xml:space="preserve">failure to ensure </w:t>
            </w:r>
            <w:r w:rsidR="001C014A">
              <w:rPr>
                <w:sz w:val="20"/>
                <w:szCs w:val="20"/>
              </w:rPr>
              <w:t xml:space="preserve">that </w:t>
            </w:r>
            <w:r w:rsidR="001C014A" w:rsidRPr="00B07B3C">
              <w:rPr>
                <w:sz w:val="20"/>
                <w:szCs w:val="20"/>
              </w:rPr>
              <w:t xml:space="preserve">controls are operating </w:t>
            </w:r>
            <w:r w:rsidR="001C014A">
              <w:rPr>
                <w:sz w:val="20"/>
                <w:szCs w:val="20"/>
              </w:rPr>
              <w:t xml:space="preserve">effectively </w:t>
            </w:r>
            <w:r w:rsidR="001C014A">
              <w:rPr>
                <w:rFonts w:cs="Arial"/>
                <w:color w:val="000000" w:themeColor="text1"/>
                <w:sz w:val="20"/>
                <w:szCs w:val="20"/>
              </w:rPr>
              <w:t>within the Creditors Procure to Pay system  T</w:t>
            </w:r>
            <w:r w:rsidR="001C3682">
              <w:rPr>
                <w:rFonts w:cs="Arial"/>
                <w:color w:val="000000" w:themeColor="text1"/>
                <w:sz w:val="20"/>
                <w:szCs w:val="20"/>
              </w:rPr>
              <w:t>here is significant risk within the</w:t>
            </w:r>
            <w:r w:rsidR="001C014A">
              <w:rPr>
                <w:rFonts w:cs="Arial"/>
                <w:color w:val="000000" w:themeColor="text1"/>
                <w:sz w:val="20"/>
                <w:szCs w:val="20"/>
              </w:rPr>
              <w:t xml:space="preserve"> Creditors Procure to Pay</w:t>
            </w:r>
            <w:r w:rsidR="001C3682">
              <w:rPr>
                <w:rFonts w:cs="Arial"/>
                <w:color w:val="000000" w:themeColor="text1"/>
                <w:sz w:val="20"/>
                <w:szCs w:val="20"/>
              </w:rPr>
              <w:t xml:space="preserve"> system that could </w:t>
            </w:r>
            <w:r>
              <w:rPr>
                <w:rFonts w:cs="Arial"/>
                <w:color w:val="000000" w:themeColor="text1"/>
                <w:sz w:val="20"/>
                <w:szCs w:val="20"/>
              </w:rPr>
              <w:t xml:space="preserve">potentially result in material misstatement, loss of monies to the Council, inaccurate financial recording and reporting and fraud and / or error. </w:t>
            </w:r>
            <w:r w:rsidR="006C4A9A">
              <w:rPr>
                <w:rFonts w:cs="Arial"/>
                <w:color w:val="000000" w:themeColor="text1"/>
                <w:sz w:val="20"/>
                <w:szCs w:val="20"/>
              </w:rPr>
              <w:t>Additionally</w:t>
            </w:r>
            <w:r w:rsidR="00CF3A08">
              <w:rPr>
                <w:rFonts w:cs="Arial"/>
                <w:color w:val="000000" w:themeColor="text1"/>
                <w:sz w:val="20"/>
                <w:szCs w:val="20"/>
              </w:rPr>
              <w:t xml:space="preserve"> officers could be acting beyond their approved delegated </w:t>
            </w:r>
            <w:r w:rsidR="007D0650">
              <w:rPr>
                <w:rFonts w:cs="Arial"/>
                <w:color w:val="000000" w:themeColor="text1"/>
                <w:sz w:val="20"/>
                <w:szCs w:val="20"/>
              </w:rPr>
              <w:t>authority</w:t>
            </w:r>
            <w:r w:rsidR="00CF3A08">
              <w:rPr>
                <w:rFonts w:cs="Arial"/>
                <w:color w:val="000000" w:themeColor="text1"/>
                <w:sz w:val="20"/>
                <w:szCs w:val="20"/>
              </w:rPr>
              <w:t xml:space="preserve"> / limits allowed</w:t>
            </w:r>
            <w:r w:rsidR="000D4856">
              <w:rPr>
                <w:rFonts w:cs="Arial"/>
                <w:color w:val="000000" w:themeColor="text1"/>
                <w:sz w:val="20"/>
                <w:szCs w:val="20"/>
              </w:rPr>
              <w:t xml:space="preserve"> and may</w:t>
            </w:r>
            <w:r w:rsidR="001C3682">
              <w:rPr>
                <w:rFonts w:cs="Arial"/>
                <w:color w:val="000000" w:themeColor="text1"/>
                <w:sz w:val="20"/>
                <w:szCs w:val="20"/>
              </w:rPr>
              <w:t xml:space="preserve"> not be clear about their delegated limits</w:t>
            </w:r>
            <w:r w:rsidR="000D4856">
              <w:rPr>
                <w:rFonts w:cs="Arial"/>
                <w:color w:val="000000" w:themeColor="text1"/>
                <w:sz w:val="20"/>
                <w:szCs w:val="20"/>
              </w:rPr>
              <w:t>.</w:t>
            </w:r>
            <w:r w:rsidR="00CF3A08">
              <w:rPr>
                <w:rFonts w:cs="Arial"/>
                <w:color w:val="000000" w:themeColor="text1"/>
                <w:sz w:val="20"/>
                <w:szCs w:val="20"/>
              </w:rPr>
              <w:t xml:space="preserve">  </w:t>
            </w:r>
          </w:p>
          <w:p w:rsidR="000D4856" w:rsidRDefault="000D4856" w:rsidP="00075FF9">
            <w:pPr>
              <w:rPr>
                <w:rFonts w:cs="Arial"/>
                <w:color w:val="000000" w:themeColor="text1"/>
                <w:sz w:val="20"/>
                <w:szCs w:val="20"/>
              </w:rPr>
            </w:pPr>
          </w:p>
          <w:p w:rsidR="003B00C4" w:rsidRDefault="00CF3A08" w:rsidP="00075FF9">
            <w:pPr>
              <w:rPr>
                <w:rFonts w:cs="Arial"/>
                <w:color w:val="000000" w:themeColor="text1"/>
                <w:sz w:val="20"/>
                <w:szCs w:val="20"/>
              </w:rPr>
            </w:pPr>
            <w:r>
              <w:rPr>
                <w:rFonts w:cs="Arial"/>
                <w:color w:val="000000" w:themeColor="text1"/>
                <w:sz w:val="20"/>
                <w:szCs w:val="20"/>
              </w:rPr>
              <w:t>The External Auditors review the Council’s key financial systems and as part of that they review the work undertaken by Internal Audit in that regard, they are aware of the issues raised and have asked for more detail in order to quantify the issues.  This will require co-operation by the Finance Team as the Internal Auditors will require reports to be produced to ensure sufficient detail can be provided that the External Auditors are satisfied that there is no material misstatement at either / both Council’s.</w:t>
            </w:r>
            <w:r w:rsidRPr="00D02E1D">
              <w:rPr>
                <w:rFonts w:cs="Arial"/>
                <w:color w:val="000000" w:themeColor="text1"/>
                <w:sz w:val="20"/>
                <w:szCs w:val="20"/>
              </w:rPr>
              <w:t xml:space="preserve"> </w:t>
            </w:r>
          </w:p>
          <w:p w:rsidR="003B00C4" w:rsidRDefault="003B00C4" w:rsidP="00075FF9">
            <w:pPr>
              <w:rPr>
                <w:rFonts w:cs="Arial"/>
                <w:color w:val="000000" w:themeColor="text1"/>
                <w:sz w:val="20"/>
                <w:szCs w:val="20"/>
              </w:rPr>
            </w:pPr>
          </w:p>
          <w:p w:rsidR="00CF3A08" w:rsidRDefault="003B00C4" w:rsidP="00075FF9">
            <w:pPr>
              <w:rPr>
                <w:rFonts w:cs="Arial"/>
                <w:b/>
                <w:sz w:val="20"/>
                <w:szCs w:val="20"/>
              </w:rPr>
            </w:pPr>
            <w:r>
              <w:rPr>
                <w:rFonts w:cs="Arial"/>
                <w:color w:val="000000" w:themeColor="text1"/>
                <w:sz w:val="20"/>
                <w:szCs w:val="20"/>
              </w:rPr>
              <w:t>Due to the issues identified further work is to be undertaken</w:t>
            </w:r>
            <w:r w:rsidR="006C4A9A">
              <w:rPr>
                <w:rFonts w:cs="Arial"/>
                <w:color w:val="000000" w:themeColor="text1"/>
                <w:sz w:val="20"/>
                <w:szCs w:val="20"/>
              </w:rPr>
              <w:t xml:space="preserve"> and</w:t>
            </w:r>
            <w:r>
              <w:rPr>
                <w:rFonts w:cs="Arial"/>
                <w:color w:val="000000" w:themeColor="text1"/>
                <w:sz w:val="20"/>
                <w:szCs w:val="20"/>
              </w:rPr>
              <w:t xml:space="preserve"> the management actions will be agreed at the conclusion of this work.</w:t>
            </w:r>
            <w:r w:rsidR="00CF3A08" w:rsidRPr="00D02E1D">
              <w:rPr>
                <w:rFonts w:cs="Arial"/>
                <w:color w:val="000000" w:themeColor="text1"/>
                <w:sz w:val="20"/>
                <w:szCs w:val="20"/>
              </w:rPr>
              <w:t xml:space="preserve"> </w:t>
            </w:r>
          </w:p>
        </w:tc>
      </w:tr>
    </w:tbl>
    <w:p w:rsidR="0015447E" w:rsidRDefault="0015447E" w:rsidP="003F2FA7">
      <w:pPr>
        <w:pStyle w:val="Default"/>
        <w:rPr>
          <w:b/>
          <w:sz w:val="20"/>
          <w:szCs w:val="20"/>
        </w:rPr>
      </w:pPr>
    </w:p>
    <w:p w:rsidR="0015447E" w:rsidRDefault="0015447E" w:rsidP="003F2FA7">
      <w:pPr>
        <w:pStyle w:val="Default"/>
        <w:rPr>
          <w:b/>
          <w:sz w:val="20"/>
          <w:szCs w:val="20"/>
        </w:rPr>
      </w:pPr>
    </w:p>
    <w:p w:rsidR="0015447E" w:rsidRDefault="0015447E" w:rsidP="003F2FA7">
      <w:pPr>
        <w:pStyle w:val="Default"/>
        <w:rPr>
          <w:b/>
          <w:sz w:val="20"/>
          <w:szCs w:val="20"/>
        </w:rPr>
      </w:pPr>
    </w:p>
    <w:p w:rsidR="0015447E" w:rsidRDefault="0015447E" w:rsidP="003F2FA7">
      <w:pPr>
        <w:pStyle w:val="Default"/>
        <w:rPr>
          <w:b/>
          <w:sz w:val="20"/>
          <w:szCs w:val="20"/>
        </w:rPr>
      </w:pPr>
    </w:p>
    <w:p w:rsidR="0015447E" w:rsidRDefault="0015447E" w:rsidP="003F2FA7">
      <w:pPr>
        <w:pStyle w:val="Default"/>
        <w:rPr>
          <w:b/>
          <w:sz w:val="20"/>
          <w:szCs w:val="20"/>
        </w:rPr>
      </w:pPr>
    </w:p>
    <w:p w:rsidR="0015447E" w:rsidRDefault="0015447E" w:rsidP="003F2FA7">
      <w:pPr>
        <w:pStyle w:val="Default"/>
        <w:rPr>
          <w:b/>
          <w:sz w:val="20"/>
          <w:szCs w:val="20"/>
        </w:rPr>
      </w:pPr>
    </w:p>
    <w:p w:rsidR="0015447E" w:rsidRDefault="0015447E" w:rsidP="003F2FA7">
      <w:pPr>
        <w:pStyle w:val="Default"/>
        <w:rPr>
          <w:b/>
          <w:sz w:val="20"/>
          <w:szCs w:val="20"/>
        </w:rPr>
      </w:pPr>
    </w:p>
    <w:p w:rsidR="0015447E" w:rsidRDefault="0015447E" w:rsidP="003F2FA7">
      <w:pPr>
        <w:pStyle w:val="Default"/>
        <w:rPr>
          <w:b/>
          <w:sz w:val="20"/>
          <w:szCs w:val="20"/>
        </w:rPr>
      </w:pPr>
    </w:p>
    <w:p w:rsidR="0015447E" w:rsidRDefault="0015447E" w:rsidP="003F2FA7">
      <w:pPr>
        <w:pStyle w:val="Default"/>
        <w:rPr>
          <w:b/>
          <w:sz w:val="20"/>
          <w:szCs w:val="20"/>
        </w:rPr>
      </w:pPr>
    </w:p>
    <w:p w:rsidR="0015447E" w:rsidRDefault="0015447E" w:rsidP="003F2FA7">
      <w:pPr>
        <w:pStyle w:val="Default"/>
        <w:rPr>
          <w:b/>
          <w:sz w:val="20"/>
          <w:szCs w:val="20"/>
        </w:rPr>
      </w:pPr>
    </w:p>
    <w:p w:rsidR="0015447E" w:rsidRDefault="0015447E" w:rsidP="003F2FA7">
      <w:pPr>
        <w:pStyle w:val="Default"/>
        <w:rPr>
          <w:b/>
          <w:sz w:val="20"/>
          <w:szCs w:val="20"/>
        </w:rPr>
      </w:pPr>
    </w:p>
    <w:p w:rsidR="0015447E" w:rsidRDefault="0015447E" w:rsidP="003F2FA7">
      <w:pPr>
        <w:pStyle w:val="Default"/>
        <w:rPr>
          <w:b/>
          <w:sz w:val="20"/>
          <w:szCs w:val="20"/>
        </w:rPr>
      </w:pPr>
    </w:p>
    <w:p w:rsidR="0015447E" w:rsidRDefault="0015447E" w:rsidP="003F2FA7">
      <w:pPr>
        <w:pStyle w:val="Default"/>
        <w:rPr>
          <w:b/>
          <w:sz w:val="20"/>
          <w:szCs w:val="20"/>
        </w:rPr>
      </w:pPr>
    </w:p>
    <w:p w:rsidR="0015447E" w:rsidRDefault="0015447E" w:rsidP="003F2FA7">
      <w:pPr>
        <w:pStyle w:val="Default"/>
        <w:rPr>
          <w:b/>
          <w:sz w:val="20"/>
          <w:szCs w:val="20"/>
        </w:rPr>
      </w:pPr>
    </w:p>
    <w:p w:rsidR="0015447E" w:rsidRDefault="0015447E" w:rsidP="003F2FA7">
      <w:pPr>
        <w:pStyle w:val="Default"/>
        <w:rPr>
          <w:b/>
          <w:sz w:val="20"/>
          <w:szCs w:val="20"/>
        </w:rPr>
      </w:pPr>
    </w:p>
    <w:p w:rsidR="0015447E" w:rsidRDefault="0015447E" w:rsidP="003F2FA7">
      <w:pPr>
        <w:pStyle w:val="Default"/>
        <w:rPr>
          <w:b/>
          <w:sz w:val="20"/>
          <w:szCs w:val="20"/>
        </w:rPr>
      </w:pPr>
    </w:p>
    <w:p w:rsidR="0015447E" w:rsidRDefault="0015447E" w:rsidP="003F2FA7">
      <w:pPr>
        <w:pStyle w:val="Default"/>
        <w:rPr>
          <w:b/>
          <w:sz w:val="20"/>
          <w:szCs w:val="20"/>
        </w:rPr>
      </w:pPr>
    </w:p>
    <w:p w:rsidR="0015447E" w:rsidRDefault="0015447E" w:rsidP="003F2FA7">
      <w:pPr>
        <w:pStyle w:val="Default"/>
        <w:rPr>
          <w:b/>
          <w:sz w:val="20"/>
          <w:szCs w:val="20"/>
        </w:rPr>
      </w:pPr>
    </w:p>
    <w:p w:rsidR="0015447E" w:rsidRDefault="0015447E" w:rsidP="003F2FA7">
      <w:pPr>
        <w:pStyle w:val="Default"/>
        <w:rPr>
          <w:b/>
          <w:sz w:val="20"/>
          <w:szCs w:val="20"/>
        </w:rPr>
      </w:pPr>
    </w:p>
    <w:p w:rsidR="0015447E" w:rsidRDefault="0015447E" w:rsidP="003F2FA7">
      <w:pPr>
        <w:pStyle w:val="Default"/>
        <w:rPr>
          <w:b/>
          <w:sz w:val="20"/>
          <w:szCs w:val="20"/>
        </w:rPr>
      </w:pPr>
    </w:p>
    <w:p w:rsidR="0015447E" w:rsidRDefault="0015447E" w:rsidP="003F2FA7">
      <w:pPr>
        <w:pStyle w:val="Default"/>
        <w:rPr>
          <w:b/>
          <w:sz w:val="20"/>
          <w:szCs w:val="20"/>
        </w:rPr>
      </w:pPr>
    </w:p>
    <w:p w:rsidR="0098430D" w:rsidRDefault="00661889" w:rsidP="003F2FA7">
      <w:pPr>
        <w:pStyle w:val="Default"/>
        <w:rPr>
          <w:b/>
          <w:sz w:val="20"/>
          <w:szCs w:val="20"/>
        </w:rPr>
      </w:pPr>
      <w:r w:rsidRPr="00D02E1D">
        <w:rPr>
          <w:b/>
          <w:sz w:val="20"/>
          <w:szCs w:val="20"/>
        </w:rPr>
        <w:tab/>
      </w:r>
    </w:p>
    <w:p w:rsidR="0015447E" w:rsidRDefault="0015447E" w:rsidP="003F2FA7">
      <w:pPr>
        <w:pStyle w:val="Default"/>
        <w:rPr>
          <w:b/>
          <w:sz w:val="20"/>
          <w:szCs w:val="20"/>
        </w:rPr>
      </w:pPr>
      <w:r>
        <w:rPr>
          <w:b/>
          <w:sz w:val="20"/>
          <w:szCs w:val="20"/>
        </w:rPr>
        <w:lastRenderedPageBreak/>
        <w:t>Appendix 1</w:t>
      </w:r>
    </w:p>
    <w:p w:rsidR="0015447E" w:rsidRDefault="0015447E" w:rsidP="003F2FA7">
      <w:pPr>
        <w:pStyle w:val="Default"/>
        <w:rPr>
          <w:b/>
          <w:sz w:val="20"/>
          <w:szCs w:val="20"/>
        </w:rPr>
      </w:pPr>
    </w:p>
    <w:p w:rsidR="0015447E" w:rsidRPr="0015447E" w:rsidRDefault="0015447E" w:rsidP="003F2FA7">
      <w:pPr>
        <w:pStyle w:val="Default"/>
        <w:rPr>
          <w:b/>
          <w:sz w:val="20"/>
          <w:szCs w:val="20"/>
          <w:u w:val="single"/>
        </w:rPr>
      </w:pPr>
      <w:r w:rsidRPr="0015447E">
        <w:rPr>
          <w:b/>
          <w:sz w:val="20"/>
          <w:szCs w:val="20"/>
          <w:u w:val="single"/>
        </w:rPr>
        <w:t>S</w:t>
      </w:r>
      <w:r w:rsidRPr="0015447E">
        <w:rPr>
          <w:b/>
          <w:color w:val="000000" w:themeColor="text1"/>
          <w:sz w:val="20"/>
          <w:szCs w:val="20"/>
          <w:u w:val="single"/>
        </w:rPr>
        <w:t>ummary Analysis % Variance Between the Original Purchase Order Value and the Amounts Paid on Invoices</w:t>
      </w:r>
    </w:p>
    <w:p w:rsidR="0015447E" w:rsidRDefault="0015447E" w:rsidP="003F2FA7">
      <w:pPr>
        <w:pStyle w:val="Default"/>
        <w:rPr>
          <w:b/>
          <w:sz w:val="20"/>
          <w:szCs w:val="20"/>
        </w:rPr>
      </w:pPr>
    </w:p>
    <w:p w:rsidR="0015447E" w:rsidRPr="00783191" w:rsidRDefault="0015447E" w:rsidP="0015447E">
      <w:pPr>
        <w:rPr>
          <w:rFonts w:ascii="Calibri" w:eastAsia="Calibri" w:hAnsi="Calibri"/>
          <w:lang w:eastAsia="en-US"/>
        </w:rPr>
      </w:pPr>
    </w:p>
    <w:tbl>
      <w:tblPr>
        <w:tblW w:w="6998" w:type="dxa"/>
        <w:tblLayout w:type="fixed"/>
        <w:tblLook w:val="04A0" w:firstRow="1" w:lastRow="0" w:firstColumn="1" w:lastColumn="0" w:noHBand="0" w:noVBand="1"/>
      </w:tblPr>
      <w:tblGrid>
        <w:gridCol w:w="1612"/>
        <w:gridCol w:w="1559"/>
        <w:gridCol w:w="1095"/>
        <w:gridCol w:w="1598"/>
        <w:gridCol w:w="1134"/>
      </w:tblGrid>
      <w:tr w:rsidR="0015447E" w:rsidRPr="00783191" w:rsidTr="00D72B39">
        <w:trPr>
          <w:trHeight w:val="300"/>
        </w:trPr>
        <w:tc>
          <w:tcPr>
            <w:tcW w:w="1612" w:type="dxa"/>
            <w:vMerge w:val="restart"/>
            <w:tcBorders>
              <w:top w:val="single" w:sz="4" w:space="0" w:color="auto"/>
              <w:left w:val="single" w:sz="4" w:space="0" w:color="auto"/>
              <w:bottom w:val="single" w:sz="4" w:space="0" w:color="000000"/>
              <w:right w:val="single" w:sz="4" w:space="0" w:color="auto"/>
            </w:tcBorders>
            <w:vAlign w:val="bottom"/>
            <w:hideMark/>
          </w:tcPr>
          <w:p w:rsidR="0015447E" w:rsidRPr="00227D6D" w:rsidRDefault="0015447E" w:rsidP="00D72B39">
            <w:pPr>
              <w:jc w:val="center"/>
              <w:rPr>
                <w:rFonts w:ascii="Calibri" w:hAnsi="Calibri" w:cs="Calibri"/>
                <w:b/>
                <w:color w:val="000000"/>
              </w:rPr>
            </w:pPr>
            <w:r w:rsidRPr="00227D6D">
              <w:rPr>
                <w:rFonts w:ascii="Calibri" w:hAnsi="Calibri" w:cs="Calibri"/>
                <w:b/>
                <w:color w:val="000000"/>
              </w:rPr>
              <w:t>Variance %</w:t>
            </w:r>
          </w:p>
        </w:tc>
        <w:tc>
          <w:tcPr>
            <w:tcW w:w="2654" w:type="dxa"/>
            <w:gridSpan w:val="2"/>
            <w:tcBorders>
              <w:top w:val="single" w:sz="4" w:space="0" w:color="auto"/>
              <w:left w:val="nil"/>
              <w:bottom w:val="single" w:sz="4" w:space="0" w:color="auto"/>
              <w:right w:val="single" w:sz="4" w:space="0" w:color="auto"/>
            </w:tcBorders>
            <w:noWrap/>
            <w:vAlign w:val="bottom"/>
            <w:hideMark/>
          </w:tcPr>
          <w:p w:rsidR="0015447E" w:rsidRPr="00783191" w:rsidRDefault="0015447E" w:rsidP="00D72B39">
            <w:pPr>
              <w:jc w:val="center"/>
              <w:rPr>
                <w:rFonts w:ascii="Calibri" w:hAnsi="Calibri" w:cs="Calibri"/>
                <w:b/>
                <w:bCs/>
                <w:color w:val="000000"/>
              </w:rPr>
            </w:pPr>
            <w:r w:rsidRPr="00783191">
              <w:rPr>
                <w:rFonts w:ascii="Calibri" w:hAnsi="Calibri" w:cs="Calibri"/>
                <w:b/>
                <w:bCs/>
                <w:color w:val="000000"/>
              </w:rPr>
              <w:t xml:space="preserve">CBC </w:t>
            </w:r>
          </w:p>
        </w:tc>
        <w:tc>
          <w:tcPr>
            <w:tcW w:w="2732" w:type="dxa"/>
            <w:gridSpan w:val="2"/>
            <w:tcBorders>
              <w:top w:val="single" w:sz="4" w:space="0" w:color="auto"/>
              <w:left w:val="nil"/>
              <w:bottom w:val="single" w:sz="4" w:space="0" w:color="auto"/>
              <w:right w:val="single" w:sz="4" w:space="0" w:color="auto"/>
            </w:tcBorders>
            <w:noWrap/>
            <w:vAlign w:val="bottom"/>
            <w:hideMark/>
          </w:tcPr>
          <w:p w:rsidR="0015447E" w:rsidRPr="00783191" w:rsidRDefault="0015447E" w:rsidP="00D72B39">
            <w:pPr>
              <w:jc w:val="center"/>
              <w:rPr>
                <w:rFonts w:ascii="Calibri" w:hAnsi="Calibri" w:cs="Calibri"/>
                <w:b/>
                <w:bCs/>
                <w:color w:val="000000"/>
              </w:rPr>
            </w:pPr>
            <w:r w:rsidRPr="00783191">
              <w:rPr>
                <w:rFonts w:ascii="Calibri" w:hAnsi="Calibri" w:cs="Calibri"/>
                <w:b/>
                <w:bCs/>
                <w:color w:val="000000"/>
              </w:rPr>
              <w:t>SRBC</w:t>
            </w:r>
          </w:p>
        </w:tc>
      </w:tr>
      <w:tr w:rsidR="0015447E" w:rsidRPr="00783191" w:rsidTr="00D72B39">
        <w:trPr>
          <w:trHeight w:val="300"/>
        </w:trPr>
        <w:tc>
          <w:tcPr>
            <w:tcW w:w="1612" w:type="dxa"/>
            <w:vMerge/>
            <w:tcBorders>
              <w:top w:val="single" w:sz="4" w:space="0" w:color="auto"/>
              <w:left w:val="single" w:sz="4" w:space="0" w:color="auto"/>
              <w:bottom w:val="single" w:sz="4" w:space="0" w:color="000000"/>
              <w:right w:val="single" w:sz="4" w:space="0" w:color="auto"/>
            </w:tcBorders>
            <w:vAlign w:val="center"/>
            <w:hideMark/>
          </w:tcPr>
          <w:p w:rsidR="0015447E" w:rsidRPr="00783191" w:rsidRDefault="0015447E" w:rsidP="00D72B39">
            <w:pPr>
              <w:rPr>
                <w:rFonts w:ascii="Calibri" w:hAnsi="Calibri" w:cs="Calibri"/>
                <w:color w:val="000000"/>
              </w:rPr>
            </w:pPr>
          </w:p>
        </w:tc>
        <w:tc>
          <w:tcPr>
            <w:tcW w:w="1559" w:type="dxa"/>
            <w:tcBorders>
              <w:top w:val="nil"/>
              <w:left w:val="nil"/>
              <w:bottom w:val="single" w:sz="4" w:space="0" w:color="auto"/>
              <w:right w:val="single" w:sz="4" w:space="0" w:color="auto"/>
            </w:tcBorders>
            <w:noWrap/>
            <w:vAlign w:val="bottom"/>
            <w:hideMark/>
          </w:tcPr>
          <w:p w:rsidR="0015447E" w:rsidRPr="00783191" w:rsidRDefault="0015447E" w:rsidP="00D72B39">
            <w:pPr>
              <w:rPr>
                <w:rFonts w:ascii="Calibri" w:hAnsi="Calibri" w:cs="Calibri"/>
                <w:b/>
                <w:bCs/>
                <w:color w:val="000000"/>
              </w:rPr>
            </w:pPr>
            <w:r w:rsidRPr="00783191">
              <w:rPr>
                <w:rFonts w:ascii="Calibri" w:hAnsi="Calibri" w:cs="Calibri"/>
                <w:b/>
                <w:bCs/>
                <w:color w:val="000000"/>
              </w:rPr>
              <w:t>P</w:t>
            </w:r>
            <w:r>
              <w:rPr>
                <w:rFonts w:ascii="Calibri" w:hAnsi="Calibri" w:cs="Calibri"/>
                <w:b/>
                <w:bCs/>
                <w:color w:val="000000"/>
              </w:rPr>
              <w:t xml:space="preserve">urchase Order </w:t>
            </w:r>
            <w:r w:rsidRPr="00783191">
              <w:rPr>
                <w:rFonts w:ascii="Calibri" w:hAnsi="Calibri" w:cs="Calibri"/>
                <w:b/>
                <w:bCs/>
                <w:color w:val="000000"/>
              </w:rPr>
              <w:t>Volume</w:t>
            </w:r>
          </w:p>
        </w:tc>
        <w:tc>
          <w:tcPr>
            <w:tcW w:w="1095" w:type="dxa"/>
            <w:tcBorders>
              <w:top w:val="nil"/>
              <w:left w:val="nil"/>
              <w:bottom w:val="single" w:sz="4" w:space="0" w:color="auto"/>
              <w:right w:val="single" w:sz="4" w:space="0" w:color="auto"/>
            </w:tcBorders>
            <w:noWrap/>
            <w:vAlign w:val="bottom"/>
            <w:hideMark/>
          </w:tcPr>
          <w:p w:rsidR="0015447E" w:rsidRPr="00783191" w:rsidRDefault="0015447E" w:rsidP="00D72B39">
            <w:pPr>
              <w:jc w:val="center"/>
              <w:rPr>
                <w:rFonts w:ascii="Calibri" w:hAnsi="Calibri" w:cs="Calibri"/>
                <w:b/>
                <w:bCs/>
                <w:color w:val="000000"/>
              </w:rPr>
            </w:pPr>
            <w:r>
              <w:rPr>
                <w:rFonts w:ascii="Calibri" w:hAnsi="Calibri" w:cs="Calibri"/>
                <w:b/>
                <w:bCs/>
                <w:color w:val="000000"/>
              </w:rPr>
              <w:t xml:space="preserve">Variance </w:t>
            </w:r>
            <w:r w:rsidRPr="00783191">
              <w:rPr>
                <w:rFonts w:ascii="Calibri" w:hAnsi="Calibri" w:cs="Calibri"/>
                <w:b/>
                <w:bCs/>
                <w:color w:val="000000"/>
              </w:rPr>
              <w:t>£</w:t>
            </w:r>
          </w:p>
        </w:tc>
        <w:tc>
          <w:tcPr>
            <w:tcW w:w="1598" w:type="dxa"/>
            <w:tcBorders>
              <w:top w:val="nil"/>
              <w:left w:val="nil"/>
              <w:bottom w:val="single" w:sz="4" w:space="0" w:color="auto"/>
              <w:right w:val="single" w:sz="4" w:space="0" w:color="auto"/>
            </w:tcBorders>
            <w:noWrap/>
            <w:vAlign w:val="bottom"/>
            <w:hideMark/>
          </w:tcPr>
          <w:p w:rsidR="0015447E" w:rsidRPr="00783191" w:rsidRDefault="0015447E" w:rsidP="00D72B39">
            <w:pPr>
              <w:rPr>
                <w:rFonts w:ascii="Calibri" w:hAnsi="Calibri" w:cs="Calibri"/>
                <w:b/>
                <w:bCs/>
                <w:color w:val="000000"/>
              </w:rPr>
            </w:pPr>
            <w:r w:rsidRPr="00783191">
              <w:rPr>
                <w:rFonts w:ascii="Calibri" w:hAnsi="Calibri" w:cs="Calibri"/>
                <w:b/>
                <w:bCs/>
                <w:color w:val="000000"/>
              </w:rPr>
              <w:t>P</w:t>
            </w:r>
            <w:r>
              <w:rPr>
                <w:rFonts w:ascii="Calibri" w:hAnsi="Calibri" w:cs="Calibri"/>
                <w:b/>
                <w:bCs/>
                <w:color w:val="000000"/>
              </w:rPr>
              <w:t xml:space="preserve">urchase Order </w:t>
            </w:r>
            <w:r w:rsidRPr="00783191">
              <w:rPr>
                <w:rFonts w:ascii="Calibri" w:hAnsi="Calibri" w:cs="Calibri"/>
                <w:b/>
                <w:bCs/>
                <w:color w:val="000000"/>
              </w:rPr>
              <w:t>Volume</w:t>
            </w:r>
          </w:p>
        </w:tc>
        <w:tc>
          <w:tcPr>
            <w:tcW w:w="1134" w:type="dxa"/>
            <w:tcBorders>
              <w:top w:val="nil"/>
              <w:left w:val="nil"/>
              <w:bottom w:val="single" w:sz="4" w:space="0" w:color="auto"/>
              <w:right w:val="single" w:sz="4" w:space="0" w:color="auto"/>
            </w:tcBorders>
            <w:noWrap/>
            <w:vAlign w:val="bottom"/>
            <w:hideMark/>
          </w:tcPr>
          <w:p w:rsidR="0015447E" w:rsidRPr="00783191" w:rsidRDefault="0015447E" w:rsidP="00D72B39">
            <w:pPr>
              <w:jc w:val="center"/>
              <w:rPr>
                <w:rFonts w:ascii="Calibri" w:hAnsi="Calibri" w:cs="Calibri"/>
                <w:b/>
                <w:bCs/>
                <w:color w:val="000000"/>
              </w:rPr>
            </w:pPr>
            <w:r>
              <w:rPr>
                <w:rFonts w:ascii="Calibri" w:hAnsi="Calibri" w:cs="Calibri"/>
                <w:b/>
                <w:bCs/>
                <w:color w:val="000000"/>
              </w:rPr>
              <w:t xml:space="preserve">Variance </w:t>
            </w:r>
            <w:r w:rsidRPr="00783191">
              <w:rPr>
                <w:rFonts w:ascii="Calibri" w:hAnsi="Calibri" w:cs="Calibri"/>
                <w:b/>
                <w:bCs/>
                <w:color w:val="000000"/>
              </w:rPr>
              <w:t>£</w:t>
            </w:r>
          </w:p>
        </w:tc>
      </w:tr>
      <w:tr w:rsidR="0015447E" w:rsidRPr="00783191" w:rsidTr="00D72B39">
        <w:trPr>
          <w:trHeight w:val="300"/>
        </w:trPr>
        <w:tc>
          <w:tcPr>
            <w:tcW w:w="1612" w:type="dxa"/>
            <w:tcBorders>
              <w:top w:val="nil"/>
              <w:left w:val="single" w:sz="4" w:space="0" w:color="auto"/>
              <w:bottom w:val="single" w:sz="4" w:space="0" w:color="auto"/>
              <w:right w:val="single" w:sz="4" w:space="0" w:color="auto"/>
            </w:tcBorders>
            <w:vAlign w:val="bottom"/>
            <w:hideMark/>
          </w:tcPr>
          <w:p w:rsidR="0015447E" w:rsidRPr="00783191" w:rsidRDefault="0015447E" w:rsidP="00D72B39">
            <w:pPr>
              <w:rPr>
                <w:rFonts w:ascii="Calibri" w:hAnsi="Calibri" w:cs="Calibri"/>
                <w:color w:val="000000"/>
              </w:rPr>
            </w:pPr>
            <w:r w:rsidRPr="00783191">
              <w:rPr>
                <w:rFonts w:ascii="Calibri" w:hAnsi="Calibri" w:cs="Calibri"/>
                <w:color w:val="000000"/>
              </w:rPr>
              <w:t>0-10%</w:t>
            </w:r>
          </w:p>
        </w:tc>
        <w:tc>
          <w:tcPr>
            <w:tcW w:w="1559" w:type="dxa"/>
            <w:tcBorders>
              <w:top w:val="nil"/>
              <w:left w:val="nil"/>
              <w:bottom w:val="single" w:sz="4" w:space="0" w:color="auto"/>
              <w:right w:val="single" w:sz="4" w:space="0" w:color="auto"/>
            </w:tcBorders>
            <w:noWrap/>
            <w:vAlign w:val="bottom"/>
            <w:hideMark/>
          </w:tcPr>
          <w:p w:rsidR="0015447E" w:rsidRPr="00783191" w:rsidRDefault="0015447E" w:rsidP="00D72B39">
            <w:pPr>
              <w:jc w:val="center"/>
              <w:rPr>
                <w:rFonts w:ascii="Calibri" w:hAnsi="Calibri" w:cs="Calibri"/>
                <w:color w:val="000000"/>
              </w:rPr>
            </w:pPr>
            <w:r w:rsidRPr="00783191">
              <w:rPr>
                <w:rFonts w:ascii="Calibri" w:hAnsi="Calibri" w:cs="Calibri"/>
                <w:color w:val="000000"/>
              </w:rPr>
              <w:t>36</w:t>
            </w:r>
          </w:p>
        </w:tc>
        <w:tc>
          <w:tcPr>
            <w:tcW w:w="1095" w:type="dxa"/>
            <w:tcBorders>
              <w:top w:val="nil"/>
              <w:left w:val="nil"/>
              <w:bottom w:val="single" w:sz="4" w:space="0" w:color="auto"/>
              <w:right w:val="single" w:sz="4" w:space="0" w:color="auto"/>
            </w:tcBorders>
            <w:noWrap/>
            <w:vAlign w:val="bottom"/>
            <w:hideMark/>
          </w:tcPr>
          <w:p w:rsidR="0015447E" w:rsidRPr="00783191" w:rsidRDefault="0015447E" w:rsidP="00D72B39">
            <w:pPr>
              <w:jc w:val="right"/>
              <w:rPr>
                <w:rFonts w:ascii="Calibri" w:hAnsi="Calibri" w:cs="Calibri"/>
                <w:color w:val="000000"/>
              </w:rPr>
            </w:pPr>
            <w:r w:rsidRPr="00783191">
              <w:rPr>
                <w:rFonts w:ascii="Calibri" w:hAnsi="Calibri" w:cs="Calibri"/>
                <w:color w:val="000000"/>
              </w:rPr>
              <w:t>3083</w:t>
            </w:r>
          </w:p>
        </w:tc>
        <w:tc>
          <w:tcPr>
            <w:tcW w:w="1598" w:type="dxa"/>
            <w:tcBorders>
              <w:top w:val="nil"/>
              <w:left w:val="nil"/>
              <w:bottom w:val="single" w:sz="4" w:space="0" w:color="auto"/>
              <w:right w:val="single" w:sz="4" w:space="0" w:color="auto"/>
            </w:tcBorders>
            <w:noWrap/>
            <w:vAlign w:val="bottom"/>
            <w:hideMark/>
          </w:tcPr>
          <w:p w:rsidR="0015447E" w:rsidRPr="00783191" w:rsidRDefault="0015447E" w:rsidP="00D72B39">
            <w:pPr>
              <w:jc w:val="center"/>
              <w:rPr>
                <w:rFonts w:ascii="Calibri" w:hAnsi="Calibri" w:cs="Calibri"/>
                <w:color w:val="000000"/>
              </w:rPr>
            </w:pPr>
            <w:r w:rsidRPr="00783191">
              <w:rPr>
                <w:rFonts w:ascii="Calibri" w:hAnsi="Calibri" w:cs="Calibri"/>
                <w:color w:val="000000"/>
              </w:rPr>
              <w:t>70</w:t>
            </w:r>
          </w:p>
        </w:tc>
        <w:tc>
          <w:tcPr>
            <w:tcW w:w="1134" w:type="dxa"/>
            <w:tcBorders>
              <w:top w:val="nil"/>
              <w:left w:val="nil"/>
              <w:bottom w:val="single" w:sz="4" w:space="0" w:color="auto"/>
              <w:right w:val="single" w:sz="4" w:space="0" w:color="auto"/>
            </w:tcBorders>
            <w:noWrap/>
            <w:vAlign w:val="bottom"/>
            <w:hideMark/>
          </w:tcPr>
          <w:p w:rsidR="0015447E" w:rsidRPr="00783191" w:rsidRDefault="0015447E" w:rsidP="00D72B39">
            <w:pPr>
              <w:jc w:val="right"/>
              <w:rPr>
                <w:rFonts w:ascii="Calibri" w:hAnsi="Calibri" w:cs="Calibri"/>
                <w:color w:val="000000"/>
              </w:rPr>
            </w:pPr>
            <w:r w:rsidRPr="00783191">
              <w:rPr>
                <w:rFonts w:ascii="Calibri" w:hAnsi="Calibri" w:cs="Calibri"/>
                <w:color w:val="000000"/>
              </w:rPr>
              <w:t>22236</w:t>
            </w:r>
          </w:p>
        </w:tc>
      </w:tr>
      <w:tr w:rsidR="0015447E" w:rsidRPr="00783191" w:rsidTr="00D72B39">
        <w:trPr>
          <w:trHeight w:val="300"/>
        </w:trPr>
        <w:tc>
          <w:tcPr>
            <w:tcW w:w="1612" w:type="dxa"/>
            <w:tcBorders>
              <w:top w:val="nil"/>
              <w:left w:val="single" w:sz="4" w:space="0" w:color="auto"/>
              <w:bottom w:val="single" w:sz="4" w:space="0" w:color="auto"/>
              <w:right w:val="single" w:sz="4" w:space="0" w:color="auto"/>
            </w:tcBorders>
            <w:noWrap/>
            <w:vAlign w:val="bottom"/>
            <w:hideMark/>
          </w:tcPr>
          <w:p w:rsidR="0015447E" w:rsidRPr="00783191" w:rsidRDefault="0015447E" w:rsidP="00D72B39">
            <w:pPr>
              <w:rPr>
                <w:rFonts w:ascii="Calibri" w:hAnsi="Calibri" w:cs="Calibri"/>
                <w:color w:val="000000"/>
              </w:rPr>
            </w:pPr>
            <w:r w:rsidRPr="00783191">
              <w:rPr>
                <w:rFonts w:ascii="Calibri" w:hAnsi="Calibri" w:cs="Calibri"/>
                <w:color w:val="000000"/>
              </w:rPr>
              <w:t>11-49%</w:t>
            </w:r>
          </w:p>
        </w:tc>
        <w:tc>
          <w:tcPr>
            <w:tcW w:w="1559" w:type="dxa"/>
            <w:tcBorders>
              <w:top w:val="nil"/>
              <w:left w:val="nil"/>
              <w:bottom w:val="single" w:sz="4" w:space="0" w:color="auto"/>
              <w:right w:val="single" w:sz="4" w:space="0" w:color="auto"/>
            </w:tcBorders>
            <w:noWrap/>
            <w:vAlign w:val="bottom"/>
            <w:hideMark/>
          </w:tcPr>
          <w:p w:rsidR="0015447E" w:rsidRPr="00783191" w:rsidRDefault="0015447E" w:rsidP="00D72B39">
            <w:pPr>
              <w:jc w:val="center"/>
              <w:rPr>
                <w:rFonts w:ascii="Calibri" w:hAnsi="Calibri" w:cs="Calibri"/>
                <w:color w:val="000000"/>
              </w:rPr>
            </w:pPr>
            <w:r w:rsidRPr="00783191">
              <w:rPr>
                <w:rFonts w:ascii="Calibri" w:hAnsi="Calibri" w:cs="Calibri"/>
                <w:color w:val="000000"/>
              </w:rPr>
              <w:t>12</w:t>
            </w:r>
          </w:p>
        </w:tc>
        <w:tc>
          <w:tcPr>
            <w:tcW w:w="1095" w:type="dxa"/>
            <w:tcBorders>
              <w:top w:val="nil"/>
              <w:left w:val="nil"/>
              <w:bottom w:val="single" w:sz="4" w:space="0" w:color="auto"/>
              <w:right w:val="single" w:sz="4" w:space="0" w:color="auto"/>
            </w:tcBorders>
            <w:noWrap/>
            <w:vAlign w:val="bottom"/>
            <w:hideMark/>
          </w:tcPr>
          <w:p w:rsidR="0015447E" w:rsidRPr="00783191" w:rsidRDefault="0015447E" w:rsidP="00D72B39">
            <w:pPr>
              <w:jc w:val="right"/>
              <w:rPr>
                <w:rFonts w:ascii="Calibri" w:hAnsi="Calibri" w:cs="Calibri"/>
                <w:color w:val="000000"/>
              </w:rPr>
            </w:pPr>
            <w:r w:rsidRPr="00783191">
              <w:rPr>
                <w:rFonts w:ascii="Calibri" w:hAnsi="Calibri" w:cs="Calibri"/>
                <w:color w:val="000000"/>
              </w:rPr>
              <w:t>3332</w:t>
            </w:r>
          </w:p>
        </w:tc>
        <w:tc>
          <w:tcPr>
            <w:tcW w:w="1598" w:type="dxa"/>
            <w:tcBorders>
              <w:top w:val="nil"/>
              <w:left w:val="nil"/>
              <w:bottom w:val="single" w:sz="4" w:space="0" w:color="auto"/>
              <w:right w:val="single" w:sz="4" w:space="0" w:color="auto"/>
            </w:tcBorders>
            <w:noWrap/>
            <w:vAlign w:val="bottom"/>
            <w:hideMark/>
          </w:tcPr>
          <w:p w:rsidR="0015447E" w:rsidRPr="00783191" w:rsidRDefault="0015447E" w:rsidP="00D72B39">
            <w:pPr>
              <w:jc w:val="center"/>
              <w:rPr>
                <w:rFonts w:ascii="Calibri" w:hAnsi="Calibri" w:cs="Calibri"/>
                <w:color w:val="000000"/>
              </w:rPr>
            </w:pPr>
            <w:r w:rsidRPr="00783191">
              <w:rPr>
                <w:rFonts w:ascii="Calibri" w:hAnsi="Calibri" w:cs="Calibri"/>
                <w:color w:val="000000"/>
              </w:rPr>
              <w:t>81</w:t>
            </w:r>
          </w:p>
        </w:tc>
        <w:tc>
          <w:tcPr>
            <w:tcW w:w="1134" w:type="dxa"/>
            <w:tcBorders>
              <w:top w:val="nil"/>
              <w:left w:val="nil"/>
              <w:bottom w:val="single" w:sz="4" w:space="0" w:color="auto"/>
              <w:right w:val="single" w:sz="4" w:space="0" w:color="auto"/>
            </w:tcBorders>
            <w:noWrap/>
            <w:vAlign w:val="bottom"/>
            <w:hideMark/>
          </w:tcPr>
          <w:p w:rsidR="0015447E" w:rsidRPr="00783191" w:rsidRDefault="0015447E" w:rsidP="00D72B39">
            <w:pPr>
              <w:jc w:val="right"/>
              <w:rPr>
                <w:rFonts w:ascii="Calibri" w:hAnsi="Calibri" w:cs="Calibri"/>
                <w:color w:val="000000"/>
              </w:rPr>
            </w:pPr>
            <w:r w:rsidRPr="00783191">
              <w:rPr>
                <w:rFonts w:ascii="Calibri" w:hAnsi="Calibri" w:cs="Calibri"/>
                <w:color w:val="000000"/>
              </w:rPr>
              <w:t>13475</w:t>
            </w:r>
          </w:p>
        </w:tc>
      </w:tr>
      <w:tr w:rsidR="0015447E" w:rsidRPr="00783191" w:rsidTr="00D72B39">
        <w:trPr>
          <w:trHeight w:val="300"/>
        </w:trPr>
        <w:tc>
          <w:tcPr>
            <w:tcW w:w="1612" w:type="dxa"/>
            <w:tcBorders>
              <w:top w:val="nil"/>
              <w:left w:val="single" w:sz="4" w:space="0" w:color="auto"/>
              <w:bottom w:val="single" w:sz="4" w:space="0" w:color="auto"/>
              <w:right w:val="single" w:sz="4" w:space="0" w:color="auto"/>
            </w:tcBorders>
            <w:noWrap/>
            <w:vAlign w:val="bottom"/>
            <w:hideMark/>
          </w:tcPr>
          <w:p w:rsidR="0015447E" w:rsidRPr="00783191" w:rsidRDefault="0015447E" w:rsidP="00D72B39">
            <w:pPr>
              <w:rPr>
                <w:rFonts w:ascii="Calibri" w:hAnsi="Calibri" w:cs="Calibri"/>
                <w:color w:val="000000"/>
              </w:rPr>
            </w:pPr>
            <w:r w:rsidRPr="00783191">
              <w:rPr>
                <w:rFonts w:ascii="Calibri" w:hAnsi="Calibri" w:cs="Calibri"/>
                <w:color w:val="000000"/>
              </w:rPr>
              <w:t>50-99%</w:t>
            </w:r>
          </w:p>
        </w:tc>
        <w:tc>
          <w:tcPr>
            <w:tcW w:w="1559" w:type="dxa"/>
            <w:tcBorders>
              <w:top w:val="nil"/>
              <w:left w:val="nil"/>
              <w:bottom w:val="single" w:sz="4" w:space="0" w:color="auto"/>
              <w:right w:val="single" w:sz="4" w:space="0" w:color="auto"/>
            </w:tcBorders>
            <w:noWrap/>
            <w:vAlign w:val="bottom"/>
            <w:hideMark/>
          </w:tcPr>
          <w:p w:rsidR="0015447E" w:rsidRPr="00783191" w:rsidRDefault="0015447E" w:rsidP="00D72B39">
            <w:pPr>
              <w:jc w:val="center"/>
              <w:rPr>
                <w:rFonts w:ascii="Calibri" w:hAnsi="Calibri" w:cs="Calibri"/>
                <w:color w:val="000000"/>
              </w:rPr>
            </w:pPr>
            <w:r w:rsidRPr="00783191">
              <w:rPr>
                <w:rFonts w:ascii="Calibri" w:hAnsi="Calibri" w:cs="Calibri"/>
                <w:color w:val="000000"/>
              </w:rPr>
              <w:t>6</w:t>
            </w:r>
          </w:p>
        </w:tc>
        <w:tc>
          <w:tcPr>
            <w:tcW w:w="1095" w:type="dxa"/>
            <w:tcBorders>
              <w:top w:val="nil"/>
              <w:left w:val="nil"/>
              <w:bottom w:val="single" w:sz="4" w:space="0" w:color="auto"/>
              <w:right w:val="single" w:sz="4" w:space="0" w:color="auto"/>
            </w:tcBorders>
            <w:noWrap/>
            <w:vAlign w:val="bottom"/>
            <w:hideMark/>
          </w:tcPr>
          <w:p w:rsidR="0015447E" w:rsidRPr="00783191" w:rsidRDefault="0015447E" w:rsidP="00D72B39">
            <w:pPr>
              <w:jc w:val="right"/>
              <w:rPr>
                <w:rFonts w:ascii="Calibri" w:hAnsi="Calibri" w:cs="Calibri"/>
                <w:color w:val="000000"/>
              </w:rPr>
            </w:pPr>
            <w:r w:rsidRPr="00783191">
              <w:rPr>
                <w:rFonts w:ascii="Calibri" w:hAnsi="Calibri" w:cs="Calibri"/>
                <w:color w:val="000000"/>
              </w:rPr>
              <w:t>12805</w:t>
            </w:r>
          </w:p>
        </w:tc>
        <w:tc>
          <w:tcPr>
            <w:tcW w:w="1598" w:type="dxa"/>
            <w:tcBorders>
              <w:top w:val="nil"/>
              <w:left w:val="nil"/>
              <w:bottom w:val="single" w:sz="4" w:space="0" w:color="auto"/>
              <w:right w:val="single" w:sz="4" w:space="0" w:color="auto"/>
            </w:tcBorders>
            <w:noWrap/>
            <w:vAlign w:val="bottom"/>
            <w:hideMark/>
          </w:tcPr>
          <w:p w:rsidR="0015447E" w:rsidRPr="00783191" w:rsidRDefault="0015447E" w:rsidP="00D72B39">
            <w:pPr>
              <w:jc w:val="center"/>
              <w:rPr>
                <w:rFonts w:ascii="Calibri" w:hAnsi="Calibri" w:cs="Calibri"/>
                <w:color w:val="000000"/>
              </w:rPr>
            </w:pPr>
            <w:r w:rsidRPr="00783191">
              <w:rPr>
                <w:rFonts w:ascii="Calibri" w:hAnsi="Calibri" w:cs="Calibri"/>
                <w:color w:val="000000"/>
              </w:rPr>
              <w:t>27</w:t>
            </w:r>
          </w:p>
        </w:tc>
        <w:tc>
          <w:tcPr>
            <w:tcW w:w="1134" w:type="dxa"/>
            <w:tcBorders>
              <w:top w:val="nil"/>
              <w:left w:val="nil"/>
              <w:bottom w:val="single" w:sz="4" w:space="0" w:color="auto"/>
              <w:right w:val="single" w:sz="4" w:space="0" w:color="auto"/>
            </w:tcBorders>
            <w:noWrap/>
            <w:vAlign w:val="bottom"/>
            <w:hideMark/>
          </w:tcPr>
          <w:p w:rsidR="0015447E" w:rsidRPr="00783191" w:rsidRDefault="0015447E" w:rsidP="00D72B39">
            <w:pPr>
              <w:jc w:val="right"/>
              <w:rPr>
                <w:rFonts w:ascii="Calibri" w:hAnsi="Calibri" w:cs="Calibri"/>
                <w:color w:val="000000"/>
              </w:rPr>
            </w:pPr>
            <w:r w:rsidRPr="00783191">
              <w:rPr>
                <w:rFonts w:ascii="Calibri" w:hAnsi="Calibri" w:cs="Calibri"/>
                <w:color w:val="000000"/>
              </w:rPr>
              <w:t>3224</w:t>
            </w:r>
          </w:p>
        </w:tc>
      </w:tr>
      <w:tr w:rsidR="0015447E" w:rsidRPr="00783191" w:rsidTr="00D72B39">
        <w:trPr>
          <w:trHeight w:val="300"/>
        </w:trPr>
        <w:tc>
          <w:tcPr>
            <w:tcW w:w="1612" w:type="dxa"/>
            <w:tcBorders>
              <w:top w:val="nil"/>
              <w:left w:val="single" w:sz="4" w:space="0" w:color="auto"/>
              <w:bottom w:val="single" w:sz="4" w:space="0" w:color="auto"/>
              <w:right w:val="single" w:sz="4" w:space="0" w:color="auto"/>
            </w:tcBorders>
            <w:noWrap/>
            <w:vAlign w:val="bottom"/>
            <w:hideMark/>
          </w:tcPr>
          <w:p w:rsidR="0015447E" w:rsidRPr="00783191" w:rsidRDefault="0015447E" w:rsidP="00D72B39">
            <w:pPr>
              <w:rPr>
                <w:rFonts w:ascii="Calibri" w:hAnsi="Calibri" w:cs="Calibri"/>
                <w:color w:val="000000"/>
              </w:rPr>
            </w:pPr>
            <w:r w:rsidRPr="00783191">
              <w:rPr>
                <w:rFonts w:ascii="Calibri" w:hAnsi="Calibri" w:cs="Calibri"/>
                <w:color w:val="000000"/>
              </w:rPr>
              <w:t>100-149%</w:t>
            </w:r>
          </w:p>
        </w:tc>
        <w:tc>
          <w:tcPr>
            <w:tcW w:w="1559" w:type="dxa"/>
            <w:tcBorders>
              <w:top w:val="nil"/>
              <w:left w:val="nil"/>
              <w:bottom w:val="single" w:sz="4" w:space="0" w:color="auto"/>
              <w:right w:val="single" w:sz="4" w:space="0" w:color="auto"/>
            </w:tcBorders>
            <w:noWrap/>
            <w:vAlign w:val="bottom"/>
            <w:hideMark/>
          </w:tcPr>
          <w:p w:rsidR="0015447E" w:rsidRPr="00783191" w:rsidRDefault="0015447E" w:rsidP="00D72B39">
            <w:pPr>
              <w:jc w:val="center"/>
              <w:rPr>
                <w:rFonts w:ascii="Calibri" w:hAnsi="Calibri" w:cs="Calibri"/>
                <w:color w:val="000000"/>
              </w:rPr>
            </w:pPr>
            <w:r w:rsidRPr="00783191">
              <w:rPr>
                <w:rFonts w:ascii="Calibri" w:hAnsi="Calibri" w:cs="Calibri"/>
                <w:color w:val="000000"/>
              </w:rPr>
              <w:t>3</w:t>
            </w:r>
          </w:p>
        </w:tc>
        <w:tc>
          <w:tcPr>
            <w:tcW w:w="1095" w:type="dxa"/>
            <w:tcBorders>
              <w:top w:val="nil"/>
              <w:left w:val="nil"/>
              <w:bottom w:val="single" w:sz="4" w:space="0" w:color="auto"/>
              <w:right w:val="single" w:sz="4" w:space="0" w:color="auto"/>
            </w:tcBorders>
            <w:noWrap/>
            <w:vAlign w:val="bottom"/>
            <w:hideMark/>
          </w:tcPr>
          <w:p w:rsidR="0015447E" w:rsidRPr="00783191" w:rsidRDefault="0015447E" w:rsidP="00D72B39">
            <w:pPr>
              <w:jc w:val="right"/>
              <w:rPr>
                <w:rFonts w:ascii="Calibri" w:hAnsi="Calibri" w:cs="Calibri"/>
                <w:color w:val="000000"/>
              </w:rPr>
            </w:pPr>
            <w:r w:rsidRPr="00783191">
              <w:rPr>
                <w:rFonts w:ascii="Calibri" w:hAnsi="Calibri" w:cs="Calibri"/>
                <w:color w:val="000000"/>
              </w:rPr>
              <w:t>259</w:t>
            </w:r>
          </w:p>
        </w:tc>
        <w:tc>
          <w:tcPr>
            <w:tcW w:w="1598" w:type="dxa"/>
            <w:tcBorders>
              <w:top w:val="nil"/>
              <w:left w:val="nil"/>
              <w:bottom w:val="single" w:sz="4" w:space="0" w:color="auto"/>
              <w:right w:val="single" w:sz="4" w:space="0" w:color="auto"/>
            </w:tcBorders>
            <w:noWrap/>
            <w:vAlign w:val="bottom"/>
            <w:hideMark/>
          </w:tcPr>
          <w:p w:rsidR="0015447E" w:rsidRPr="00783191" w:rsidRDefault="0015447E" w:rsidP="00D72B39">
            <w:pPr>
              <w:jc w:val="center"/>
              <w:rPr>
                <w:rFonts w:ascii="Calibri" w:hAnsi="Calibri" w:cs="Calibri"/>
                <w:color w:val="000000"/>
              </w:rPr>
            </w:pPr>
            <w:r w:rsidRPr="00783191">
              <w:rPr>
                <w:rFonts w:ascii="Calibri" w:hAnsi="Calibri" w:cs="Calibri"/>
                <w:color w:val="000000"/>
              </w:rPr>
              <w:t>15</w:t>
            </w:r>
          </w:p>
        </w:tc>
        <w:tc>
          <w:tcPr>
            <w:tcW w:w="1134" w:type="dxa"/>
            <w:tcBorders>
              <w:top w:val="nil"/>
              <w:left w:val="nil"/>
              <w:bottom w:val="single" w:sz="4" w:space="0" w:color="auto"/>
              <w:right w:val="single" w:sz="4" w:space="0" w:color="auto"/>
            </w:tcBorders>
            <w:noWrap/>
            <w:vAlign w:val="bottom"/>
            <w:hideMark/>
          </w:tcPr>
          <w:p w:rsidR="0015447E" w:rsidRPr="00783191" w:rsidRDefault="0015447E" w:rsidP="00D72B39">
            <w:pPr>
              <w:jc w:val="right"/>
              <w:rPr>
                <w:rFonts w:ascii="Calibri" w:hAnsi="Calibri" w:cs="Calibri"/>
                <w:color w:val="000000"/>
              </w:rPr>
            </w:pPr>
            <w:r w:rsidRPr="00783191">
              <w:rPr>
                <w:rFonts w:ascii="Calibri" w:hAnsi="Calibri" w:cs="Calibri"/>
                <w:color w:val="000000"/>
              </w:rPr>
              <w:t>3243</w:t>
            </w:r>
          </w:p>
        </w:tc>
      </w:tr>
      <w:tr w:rsidR="0015447E" w:rsidRPr="00783191" w:rsidTr="00D72B39">
        <w:trPr>
          <w:trHeight w:val="300"/>
        </w:trPr>
        <w:tc>
          <w:tcPr>
            <w:tcW w:w="1612" w:type="dxa"/>
            <w:tcBorders>
              <w:top w:val="nil"/>
              <w:left w:val="single" w:sz="4" w:space="0" w:color="auto"/>
              <w:bottom w:val="single" w:sz="4" w:space="0" w:color="auto"/>
              <w:right w:val="single" w:sz="4" w:space="0" w:color="auto"/>
            </w:tcBorders>
            <w:noWrap/>
            <w:vAlign w:val="bottom"/>
            <w:hideMark/>
          </w:tcPr>
          <w:p w:rsidR="0015447E" w:rsidRPr="00783191" w:rsidRDefault="0015447E" w:rsidP="00D72B39">
            <w:pPr>
              <w:rPr>
                <w:rFonts w:ascii="Calibri" w:hAnsi="Calibri" w:cs="Calibri"/>
                <w:color w:val="000000"/>
              </w:rPr>
            </w:pPr>
            <w:r w:rsidRPr="00783191">
              <w:rPr>
                <w:rFonts w:ascii="Calibri" w:hAnsi="Calibri" w:cs="Calibri"/>
                <w:color w:val="000000"/>
              </w:rPr>
              <w:t>150-199%</w:t>
            </w:r>
          </w:p>
        </w:tc>
        <w:tc>
          <w:tcPr>
            <w:tcW w:w="1559" w:type="dxa"/>
            <w:tcBorders>
              <w:top w:val="nil"/>
              <w:left w:val="nil"/>
              <w:bottom w:val="single" w:sz="4" w:space="0" w:color="auto"/>
              <w:right w:val="single" w:sz="4" w:space="0" w:color="auto"/>
            </w:tcBorders>
            <w:noWrap/>
            <w:vAlign w:val="bottom"/>
            <w:hideMark/>
          </w:tcPr>
          <w:p w:rsidR="0015447E" w:rsidRPr="00783191" w:rsidRDefault="0015447E" w:rsidP="00D72B39">
            <w:pPr>
              <w:jc w:val="center"/>
              <w:rPr>
                <w:rFonts w:ascii="Calibri" w:hAnsi="Calibri" w:cs="Calibri"/>
                <w:color w:val="000000"/>
              </w:rPr>
            </w:pPr>
            <w:r w:rsidRPr="00783191">
              <w:rPr>
                <w:rFonts w:ascii="Calibri" w:hAnsi="Calibri" w:cs="Calibri"/>
                <w:color w:val="000000"/>
              </w:rPr>
              <w:t>0</w:t>
            </w:r>
          </w:p>
        </w:tc>
        <w:tc>
          <w:tcPr>
            <w:tcW w:w="1095" w:type="dxa"/>
            <w:tcBorders>
              <w:top w:val="nil"/>
              <w:left w:val="nil"/>
              <w:bottom w:val="single" w:sz="4" w:space="0" w:color="auto"/>
              <w:right w:val="single" w:sz="4" w:space="0" w:color="auto"/>
            </w:tcBorders>
            <w:noWrap/>
            <w:vAlign w:val="bottom"/>
            <w:hideMark/>
          </w:tcPr>
          <w:p w:rsidR="0015447E" w:rsidRPr="00783191" w:rsidRDefault="0015447E" w:rsidP="00D72B39">
            <w:pPr>
              <w:jc w:val="right"/>
              <w:rPr>
                <w:rFonts w:ascii="Calibri" w:hAnsi="Calibri" w:cs="Calibri"/>
                <w:color w:val="000000"/>
              </w:rPr>
            </w:pPr>
            <w:r w:rsidRPr="00783191">
              <w:rPr>
                <w:rFonts w:ascii="Calibri" w:hAnsi="Calibri" w:cs="Calibri"/>
                <w:color w:val="000000"/>
              </w:rPr>
              <w:t>0</w:t>
            </w:r>
          </w:p>
        </w:tc>
        <w:tc>
          <w:tcPr>
            <w:tcW w:w="1598" w:type="dxa"/>
            <w:tcBorders>
              <w:top w:val="nil"/>
              <w:left w:val="nil"/>
              <w:bottom w:val="single" w:sz="4" w:space="0" w:color="auto"/>
              <w:right w:val="single" w:sz="4" w:space="0" w:color="auto"/>
            </w:tcBorders>
            <w:noWrap/>
            <w:vAlign w:val="bottom"/>
            <w:hideMark/>
          </w:tcPr>
          <w:p w:rsidR="0015447E" w:rsidRPr="00783191" w:rsidRDefault="0015447E" w:rsidP="00D72B39">
            <w:pPr>
              <w:jc w:val="center"/>
              <w:rPr>
                <w:rFonts w:ascii="Calibri" w:hAnsi="Calibri" w:cs="Calibri"/>
                <w:color w:val="000000"/>
              </w:rPr>
            </w:pPr>
            <w:r w:rsidRPr="00783191">
              <w:rPr>
                <w:rFonts w:ascii="Calibri" w:hAnsi="Calibri" w:cs="Calibri"/>
                <w:color w:val="000000"/>
              </w:rPr>
              <w:t>11</w:t>
            </w:r>
          </w:p>
        </w:tc>
        <w:tc>
          <w:tcPr>
            <w:tcW w:w="1134" w:type="dxa"/>
            <w:tcBorders>
              <w:top w:val="nil"/>
              <w:left w:val="nil"/>
              <w:bottom w:val="single" w:sz="4" w:space="0" w:color="auto"/>
              <w:right w:val="single" w:sz="4" w:space="0" w:color="auto"/>
            </w:tcBorders>
            <w:noWrap/>
            <w:vAlign w:val="bottom"/>
            <w:hideMark/>
          </w:tcPr>
          <w:p w:rsidR="0015447E" w:rsidRPr="00783191" w:rsidRDefault="0015447E" w:rsidP="00D72B39">
            <w:pPr>
              <w:jc w:val="right"/>
              <w:rPr>
                <w:rFonts w:ascii="Calibri" w:hAnsi="Calibri" w:cs="Calibri"/>
                <w:color w:val="000000"/>
              </w:rPr>
            </w:pPr>
            <w:r w:rsidRPr="00783191">
              <w:rPr>
                <w:rFonts w:ascii="Calibri" w:hAnsi="Calibri" w:cs="Calibri"/>
                <w:color w:val="000000"/>
              </w:rPr>
              <w:t>2287</w:t>
            </w:r>
          </w:p>
        </w:tc>
      </w:tr>
      <w:tr w:rsidR="0015447E" w:rsidRPr="00783191" w:rsidTr="00D72B39">
        <w:trPr>
          <w:trHeight w:val="300"/>
        </w:trPr>
        <w:tc>
          <w:tcPr>
            <w:tcW w:w="1612" w:type="dxa"/>
            <w:tcBorders>
              <w:top w:val="nil"/>
              <w:left w:val="single" w:sz="4" w:space="0" w:color="auto"/>
              <w:bottom w:val="single" w:sz="4" w:space="0" w:color="auto"/>
              <w:right w:val="single" w:sz="4" w:space="0" w:color="auto"/>
            </w:tcBorders>
            <w:noWrap/>
            <w:vAlign w:val="bottom"/>
            <w:hideMark/>
          </w:tcPr>
          <w:p w:rsidR="0015447E" w:rsidRPr="00783191" w:rsidRDefault="0015447E" w:rsidP="00D72B39">
            <w:pPr>
              <w:rPr>
                <w:rFonts w:ascii="Calibri" w:hAnsi="Calibri" w:cs="Calibri"/>
                <w:color w:val="000000"/>
              </w:rPr>
            </w:pPr>
            <w:r w:rsidRPr="00783191">
              <w:rPr>
                <w:rFonts w:ascii="Calibri" w:hAnsi="Calibri" w:cs="Calibri"/>
                <w:color w:val="000000"/>
              </w:rPr>
              <w:t>200%+</w:t>
            </w:r>
          </w:p>
        </w:tc>
        <w:tc>
          <w:tcPr>
            <w:tcW w:w="1559" w:type="dxa"/>
            <w:tcBorders>
              <w:top w:val="nil"/>
              <w:left w:val="nil"/>
              <w:bottom w:val="single" w:sz="4" w:space="0" w:color="auto"/>
              <w:right w:val="single" w:sz="4" w:space="0" w:color="auto"/>
            </w:tcBorders>
            <w:noWrap/>
            <w:vAlign w:val="bottom"/>
            <w:hideMark/>
          </w:tcPr>
          <w:p w:rsidR="0015447E" w:rsidRPr="00783191" w:rsidRDefault="0015447E" w:rsidP="00D72B39">
            <w:pPr>
              <w:jc w:val="center"/>
              <w:rPr>
                <w:rFonts w:ascii="Calibri" w:hAnsi="Calibri" w:cs="Calibri"/>
                <w:color w:val="000000"/>
              </w:rPr>
            </w:pPr>
            <w:r w:rsidRPr="00783191">
              <w:rPr>
                <w:rFonts w:ascii="Calibri" w:hAnsi="Calibri" w:cs="Calibri"/>
                <w:color w:val="000000"/>
              </w:rPr>
              <w:t>0</w:t>
            </w:r>
          </w:p>
        </w:tc>
        <w:tc>
          <w:tcPr>
            <w:tcW w:w="1095" w:type="dxa"/>
            <w:tcBorders>
              <w:top w:val="nil"/>
              <w:left w:val="nil"/>
              <w:bottom w:val="single" w:sz="4" w:space="0" w:color="auto"/>
              <w:right w:val="single" w:sz="4" w:space="0" w:color="auto"/>
            </w:tcBorders>
            <w:noWrap/>
            <w:vAlign w:val="bottom"/>
            <w:hideMark/>
          </w:tcPr>
          <w:p w:rsidR="0015447E" w:rsidRPr="00783191" w:rsidRDefault="0015447E" w:rsidP="00D72B39">
            <w:pPr>
              <w:jc w:val="right"/>
              <w:rPr>
                <w:rFonts w:ascii="Calibri" w:hAnsi="Calibri" w:cs="Calibri"/>
                <w:color w:val="000000"/>
              </w:rPr>
            </w:pPr>
            <w:r w:rsidRPr="00783191">
              <w:rPr>
                <w:rFonts w:ascii="Calibri" w:hAnsi="Calibri" w:cs="Calibri"/>
                <w:color w:val="000000"/>
              </w:rPr>
              <w:t>0</w:t>
            </w:r>
          </w:p>
        </w:tc>
        <w:tc>
          <w:tcPr>
            <w:tcW w:w="1598" w:type="dxa"/>
            <w:tcBorders>
              <w:top w:val="nil"/>
              <w:left w:val="nil"/>
              <w:bottom w:val="single" w:sz="4" w:space="0" w:color="auto"/>
              <w:right w:val="single" w:sz="4" w:space="0" w:color="auto"/>
            </w:tcBorders>
            <w:noWrap/>
            <w:vAlign w:val="bottom"/>
            <w:hideMark/>
          </w:tcPr>
          <w:p w:rsidR="0015447E" w:rsidRPr="00783191" w:rsidRDefault="0015447E" w:rsidP="00D72B39">
            <w:pPr>
              <w:jc w:val="center"/>
              <w:rPr>
                <w:rFonts w:ascii="Calibri" w:hAnsi="Calibri" w:cs="Calibri"/>
                <w:color w:val="000000"/>
              </w:rPr>
            </w:pPr>
            <w:r w:rsidRPr="00783191">
              <w:rPr>
                <w:rFonts w:ascii="Calibri" w:hAnsi="Calibri" w:cs="Calibri"/>
                <w:color w:val="000000"/>
              </w:rPr>
              <w:t>13</w:t>
            </w:r>
          </w:p>
        </w:tc>
        <w:tc>
          <w:tcPr>
            <w:tcW w:w="1134" w:type="dxa"/>
            <w:tcBorders>
              <w:top w:val="nil"/>
              <w:left w:val="nil"/>
              <w:bottom w:val="single" w:sz="4" w:space="0" w:color="auto"/>
              <w:right w:val="single" w:sz="4" w:space="0" w:color="auto"/>
            </w:tcBorders>
            <w:noWrap/>
            <w:vAlign w:val="bottom"/>
            <w:hideMark/>
          </w:tcPr>
          <w:p w:rsidR="0015447E" w:rsidRPr="00783191" w:rsidRDefault="0015447E" w:rsidP="00D72B39">
            <w:pPr>
              <w:jc w:val="right"/>
              <w:rPr>
                <w:rFonts w:ascii="Calibri" w:hAnsi="Calibri" w:cs="Calibri"/>
                <w:color w:val="000000"/>
              </w:rPr>
            </w:pPr>
            <w:r w:rsidRPr="00783191">
              <w:rPr>
                <w:rFonts w:ascii="Calibri" w:hAnsi="Calibri" w:cs="Calibri"/>
                <w:color w:val="000000"/>
              </w:rPr>
              <w:t>9514</w:t>
            </w:r>
          </w:p>
        </w:tc>
      </w:tr>
      <w:tr w:rsidR="0015447E" w:rsidRPr="00783191" w:rsidTr="00D72B39">
        <w:trPr>
          <w:trHeight w:val="300"/>
        </w:trPr>
        <w:tc>
          <w:tcPr>
            <w:tcW w:w="1612" w:type="dxa"/>
            <w:tcBorders>
              <w:top w:val="single" w:sz="4" w:space="0" w:color="auto"/>
              <w:left w:val="single" w:sz="4" w:space="0" w:color="auto"/>
              <w:bottom w:val="single" w:sz="4" w:space="0" w:color="auto"/>
              <w:right w:val="single" w:sz="4" w:space="0" w:color="auto"/>
            </w:tcBorders>
            <w:noWrap/>
            <w:vAlign w:val="bottom"/>
            <w:hideMark/>
          </w:tcPr>
          <w:p w:rsidR="0015447E" w:rsidRPr="0020730D" w:rsidRDefault="0015447E" w:rsidP="00D72B39">
            <w:pPr>
              <w:rPr>
                <w:rFonts w:ascii="Calibri" w:hAnsi="Calibri" w:cs="Calibri"/>
                <w:b/>
                <w:color w:val="000000"/>
              </w:rPr>
            </w:pPr>
            <w:r w:rsidRPr="0020730D">
              <w:rPr>
                <w:rFonts w:ascii="Calibri" w:hAnsi="Calibri" w:cs="Calibri"/>
                <w:b/>
                <w:color w:val="000000"/>
              </w:rPr>
              <w:t>Total</w:t>
            </w:r>
          </w:p>
        </w:tc>
        <w:tc>
          <w:tcPr>
            <w:tcW w:w="1559" w:type="dxa"/>
            <w:tcBorders>
              <w:top w:val="single" w:sz="4" w:space="0" w:color="auto"/>
              <w:left w:val="nil"/>
              <w:bottom w:val="single" w:sz="4" w:space="0" w:color="auto"/>
              <w:right w:val="single" w:sz="4" w:space="0" w:color="auto"/>
            </w:tcBorders>
            <w:noWrap/>
            <w:vAlign w:val="bottom"/>
            <w:hideMark/>
          </w:tcPr>
          <w:p w:rsidR="0015447E" w:rsidRPr="0020730D" w:rsidRDefault="0015447E" w:rsidP="00D72B39">
            <w:pPr>
              <w:jc w:val="center"/>
              <w:rPr>
                <w:rFonts w:ascii="Calibri" w:hAnsi="Calibri" w:cs="Calibri"/>
                <w:b/>
                <w:color w:val="000000"/>
              </w:rPr>
            </w:pPr>
            <w:r w:rsidRPr="0020730D">
              <w:rPr>
                <w:rFonts w:ascii="Calibri" w:hAnsi="Calibri" w:cs="Calibri"/>
                <w:b/>
                <w:color w:val="000000"/>
              </w:rPr>
              <w:t>57</w:t>
            </w:r>
          </w:p>
        </w:tc>
        <w:tc>
          <w:tcPr>
            <w:tcW w:w="1095" w:type="dxa"/>
            <w:tcBorders>
              <w:top w:val="single" w:sz="4" w:space="0" w:color="auto"/>
              <w:left w:val="nil"/>
              <w:bottom w:val="single" w:sz="4" w:space="0" w:color="auto"/>
              <w:right w:val="single" w:sz="4" w:space="0" w:color="auto"/>
            </w:tcBorders>
            <w:noWrap/>
            <w:vAlign w:val="bottom"/>
            <w:hideMark/>
          </w:tcPr>
          <w:p w:rsidR="0015447E" w:rsidRPr="0020730D" w:rsidRDefault="0015447E" w:rsidP="00D72B39">
            <w:pPr>
              <w:jc w:val="right"/>
              <w:rPr>
                <w:rFonts w:ascii="Calibri" w:hAnsi="Calibri" w:cs="Calibri"/>
                <w:b/>
                <w:color w:val="000000"/>
              </w:rPr>
            </w:pPr>
            <w:r w:rsidRPr="0020730D">
              <w:rPr>
                <w:rFonts w:ascii="Calibri" w:hAnsi="Calibri" w:cs="Calibri"/>
                <w:b/>
                <w:color w:val="000000"/>
              </w:rPr>
              <w:t>19479</w:t>
            </w:r>
          </w:p>
        </w:tc>
        <w:tc>
          <w:tcPr>
            <w:tcW w:w="1598" w:type="dxa"/>
            <w:tcBorders>
              <w:top w:val="single" w:sz="4" w:space="0" w:color="auto"/>
              <w:left w:val="nil"/>
              <w:bottom w:val="single" w:sz="4" w:space="0" w:color="auto"/>
              <w:right w:val="single" w:sz="4" w:space="0" w:color="auto"/>
            </w:tcBorders>
            <w:noWrap/>
            <w:vAlign w:val="bottom"/>
            <w:hideMark/>
          </w:tcPr>
          <w:p w:rsidR="0015447E" w:rsidRPr="0020730D" w:rsidRDefault="0015447E" w:rsidP="00D72B39">
            <w:pPr>
              <w:jc w:val="center"/>
              <w:rPr>
                <w:rFonts w:ascii="Calibri" w:hAnsi="Calibri" w:cs="Calibri"/>
                <w:b/>
                <w:color w:val="000000"/>
              </w:rPr>
            </w:pPr>
            <w:r w:rsidRPr="0020730D">
              <w:rPr>
                <w:rFonts w:ascii="Calibri" w:hAnsi="Calibri" w:cs="Calibri"/>
                <w:b/>
                <w:color w:val="000000"/>
              </w:rPr>
              <w:t>217</w:t>
            </w:r>
          </w:p>
        </w:tc>
        <w:tc>
          <w:tcPr>
            <w:tcW w:w="1134" w:type="dxa"/>
            <w:tcBorders>
              <w:top w:val="single" w:sz="4" w:space="0" w:color="auto"/>
              <w:left w:val="nil"/>
              <w:bottom w:val="single" w:sz="4" w:space="0" w:color="auto"/>
              <w:right w:val="single" w:sz="4" w:space="0" w:color="auto"/>
            </w:tcBorders>
            <w:noWrap/>
            <w:vAlign w:val="bottom"/>
            <w:hideMark/>
          </w:tcPr>
          <w:p w:rsidR="0015447E" w:rsidRPr="0020730D" w:rsidRDefault="0015447E" w:rsidP="00D72B39">
            <w:pPr>
              <w:jc w:val="right"/>
              <w:rPr>
                <w:rFonts w:ascii="Calibri" w:hAnsi="Calibri" w:cs="Calibri"/>
                <w:b/>
                <w:color w:val="000000"/>
              </w:rPr>
            </w:pPr>
            <w:r w:rsidRPr="0020730D">
              <w:rPr>
                <w:rFonts w:ascii="Calibri" w:hAnsi="Calibri" w:cs="Calibri"/>
                <w:b/>
                <w:color w:val="000000"/>
              </w:rPr>
              <w:t>53979</w:t>
            </w:r>
          </w:p>
        </w:tc>
      </w:tr>
      <w:tr w:rsidR="0015447E" w:rsidRPr="00783191" w:rsidTr="00D72B39">
        <w:trPr>
          <w:trHeight w:val="300"/>
        </w:trPr>
        <w:tc>
          <w:tcPr>
            <w:tcW w:w="1612" w:type="dxa"/>
            <w:tcBorders>
              <w:top w:val="single" w:sz="4" w:space="0" w:color="auto"/>
              <w:left w:val="single" w:sz="4" w:space="0" w:color="auto"/>
              <w:bottom w:val="single" w:sz="4" w:space="0" w:color="auto"/>
            </w:tcBorders>
            <w:noWrap/>
            <w:vAlign w:val="bottom"/>
          </w:tcPr>
          <w:p w:rsidR="0015447E" w:rsidRPr="0020730D" w:rsidRDefault="0015447E" w:rsidP="00D72B39">
            <w:pPr>
              <w:rPr>
                <w:rFonts w:ascii="Calibri" w:hAnsi="Calibri" w:cs="Calibri"/>
                <w:b/>
                <w:color w:val="000000"/>
              </w:rPr>
            </w:pPr>
          </w:p>
        </w:tc>
        <w:tc>
          <w:tcPr>
            <w:tcW w:w="1559" w:type="dxa"/>
            <w:tcBorders>
              <w:top w:val="single" w:sz="4" w:space="0" w:color="auto"/>
              <w:bottom w:val="single" w:sz="4" w:space="0" w:color="auto"/>
            </w:tcBorders>
            <w:noWrap/>
            <w:vAlign w:val="bottom"/>
          </w:tcPr>
          <w:p w:rsidR="0015447E" w:rsidRPr="0020730D" w:rsidRDefault="0015447E" w:rsidP="00D72B39">
            <w:pPr>
              <w:jc w:val="right"/>
              <w:rPr>
                <w:rFonts w:ascii="Calibri" w:hAnsi="Calibri" w:cs="Calibri"/>
                <w:b/>
                <w:color w:val="000000"/>
              </w:rPr>
            </w:pPr>
          </w:p>
        </w:tc>
        <w:tc>
          <w:tcPr>
            <w:tcW w:w="1095" w:type="dxa"/>
            <w:tcBorders>
              <w:top w:val="single" w:sz="4" w:space="0" w:color="auto"/>
              <w:bottom w:val="single" w:sz="4" w:space="0" w:color="auto"/>
            </w:tcBorders>
            <w:noWrap/>
            <w:vAlign w:val="bottom"/>
          </w:tcPr>
          <w:p w:rsidR="0015447E" w:rsidRPr="0020730D" w:rsidRDefault="0015447E" w:rsidP="00D72B39">
            <w:pPr>
              <w:jc w:val="right"/>
              <w:rPr>
                <w:rFonts w:ascii="Calibri" w:hAnsi="Calibri" w:cs="Calibri"/>
                <w:b/>
                <w:color w:val="000000"/>
              </w:rPr>
            </w:pPr>
          </w:p>
        </w:tc>
        <w:tc>
          <w:tcPr>
            <w:tcW w:w="1598" w:type="dxa"/>
            <w:tcBorders>
              <w:top w:val="single" w:sz="4" w:space="0" w:color="auto"/>
              <w:bottom w:val="single" w:sz="4" w:space="0" w:color="auto"/>
            </w:tcBorders>
            <w:noWrap/>
            <w:vAlign w:val="bottom"/>
          </w:tcPr>
          <w:p w:rsidR="0015447E" w:rsidRPr="0020730D" w:rsidRDefault="0015447E" w:rsidP="00D72B39">
            <w:pPr>
              <w:jc w:val="right"/>
              <w:rPr>
                <w:rFonts w:ascii="Calibri" w:hAnsi="Calibri" w:cs="Calibri"/>
                <w:b/>
                <w:color w:val="000000"/>
              </w:rPr>
            </w:pPr>
          </w:p>
        </w:tc>
        <w:tc>
          <w:tcPr>
            <w:tcW w:w="1134" w:type="dxa"/>
            <w:tcBorders>
              <w:top w:val="single" w:sz="4" w:space="0" w:color="auto"/>
              <w:bottom w:val="single" w:sz="4" w:space="0" w:color="auto"/>
              <w:right w:val="single" w:sz="4" w:space="0" w:color="auto"/>
            </w:tcBorders>
            <w:noWrap/>
            <w:vAlign w:val="bottom"/>
          </w:tcPr>
          <w:p w:rsidR="0015447E" w:rsidRPr="0020730D" w:rsidRDefault="0015447E" w:rsidP="00D72B39">
            <w:pPr>
              <w:jc w:val="right"/>
              <w:rPr>
                <w:rFonts w:ascii="Calibri" w:hAnsi="Calibri" w:cs="Calibri"/>
                <w:b/>
                <w:color w:val="000000"/>
              </w:rPr>
            </w:pPr>
          </w:p>
        </w:tc>
      </w:tr>
      <w:tr w:rsidR="0015447E" w:rsidRPr="00783191" w:rsidTr="00D72B39">
        <w:trPr>
          <w:trHeight w:val="300"/>
        </w:trPr>
        <w:tc>
          <w:tcPr>
            <w:tcW w:w="1612" w:type="dxa"/>
            <w:tcBorders>
              <w:top w:val="single" w:sz="4" w:space="0" w:color="auto"/>
              <w:left w:val="single" w:sz="4" w:space="0" w:color="auto"/>
              <w:bottom w:val="single" w:sz="4" w:space="0" w:color="auto"/>
              <w:right w:val="single" w:sz="4" w:space="0" w:color="auto"/>
            </w:tcBorders>
            <w:noWrap/>
            <w:vAlign w:val="bottom"/>
          </w:tcPr>
          <w:p w:rsidR="0015447E" w:rsidRPr="0020730D" w:rsidRDefault="0015447E" w:rsidP="00D72B39">
            <w:pPr>
              <w:rPr>
                <w:rFonts w:ascii="Calibri" w:hAnsi="Calibri" w:cs="Calibri"/>
                <w:b/>
                <w:color w:val="000000"/>
              </w:rPr>
            </w:pPr>
            <w:r>
              <w:rPr>
                <w:rFonts w:ascii="Calibri" w:hAnsi="Calibri" w:cs="Calibri"/>
                <w:b/>
                <w:color w:val="000000"/>
              </w:rPr>
              <w:t>Sample -Total Purchase Orders Volume</w:t>
            </w:r>
          </w:p>
        </w:tc>
        <w:tc>
          <w:tcPr>
            <w:tcW w:w="1559" w:type="dxa"/>
            <w:tcBorders>
              <w:top w:val="single" w:sz="4" w:space="0" w:color="auto"/>
              <w:left w:val="nil"/>
              <w:bottom w:val="single" w:sz="4" w:space="0" w:color="auto"/>
              <w:right w:val="single" w:sz="4" w:space="0" w:color="auto"/>
            </w:tcBorders>
            <w:noWrap/>
            <w:vAlign w:val="bottom"/>
          </w:tcPr>
          <w:p w:rsidR="0015447E" w:rsidRPr="0020730D" w:rsidRDefault="0015447E" w:rsidP="00D72B39">
            <w:pPr>
              <w:jc w:val="center"/>
              <w:rPr>
                <w:rFonts w:ascii="Calibri" w:hAnsi="Calibri" w:cs="Calibri"/>
                <w:b/>
                <w:color w:val="000000"/>
              </w:rPr>
            </w:pPr>
            <w:r>
              <w:rPr>
                <w:rFonts w:ascii="Calibri" w:hAnsi="Calibri" w:cs="Calibri"/>
                <w:b/>
                <w:color w:val="000000"/>
              </w:rPr>
              <w:t>784</w:t>
            </w:r>
          </w:p>
        </w:tc>
        <w:tc>
          <w:tcPr>
            <w:tcW w:w="1095" w:type="dxa"/>
            <w:tcBorders>
              <w:top w:val="single" w:sz="4" w:space="0" w:color="auto"/>
              <w:left w:val="nil"/>
              <w:bottom w:val="single" w:sz="4" w:space="0" w:color="auto"/>
              <w:right w:val="single" w:sz="4" w:space="0" w:color="auto"/>
            </w:tcBorders>
            <w:noWrap/>
            <w:vAlign w:val="bottom"/>
          </w:tcPr>
          <w:p w:rsidR="0015447E" w:rsidRPr="0020730D" w:rsidRDefault="0015447E" w:rsidP="00D72B39">
            <w:pPr>
              <w:jc w:val="right"/>
              <w:rPr>
                <w:rFonts w:ascii="Calibri" w:hAnsi="Calibri" w:cs="Calibri"/>
                <w:b/>
                <w:color w:val="000000"/>
              </w:rPr>
            </w:pPr>
          </w:p>
        </w:tc>
        <w:tc>
          <w:tcPr>
            <w:tcW w:w="1598" w:type="dxa"/>
            <w:tcBorders>
              <w:top w:val="single" w:sz="4" w:space="0" w:color="auto"/>
              <w:left w:val="nil"/>
              <w:bottom w:val="single" w:sz="4" w:space="0" w:color="auto"/>
              <w:right w:val="single" w:sz="4" w:space="0" w:color="auto"/>
            </w:tcBorders>
            <w:noWrap/>
            <w:vAlign w:val="bottom"/>
          </w:tcPr>
          <w:p w:rsidR="0015447E" w:rsidRPr="0020730D" w:rsidRDefault="0015447E" w:rsidP="00D72B39">
            <w:pPr>
              <w:jc w:val="center"/>
              <w:rPr>
                <w:rFonts w:ascii="Calibri" w:hAnsi="Calibri" w:cs="Calibri"/>
                <w:b/>
                <w:color w:val="000000"/>
              </w:rPr>
            </w:pPr>
            <w:r>
              <w:rPr>
                <w:rFonts w:ascii="Calibri" w:hAnsi="Calibri" w:cs="Calibri"/>
                <w:b/>
                <w:color w:val="000000"/>
              </w:rPr>
              <w:t>1202</w:t>
            </w:r>
          </w:p>
        </w:tc>
        <w:tc>
          <w:tcPr>
            <w:tcW w:w="1134" w:type="dxa"/>
            <w:tcBorders>
              <w:top w:val="single" w:sz="4" w:space="0" w:color="auto"/>
              <w:left w:val="nil"/>
              <w:bottom w:val="single" w:sz="4" w:space="0" w:color="auto"/>
              <w:right w:val="single" w:sz="4" w:space="0" w:color="auto"/>
            </w:tcBorders>
            <w:noWrap/>
            <w:vAlign w:val="bottom"/>
          </w:tcPr>
          <w:p w:rsidR="0015447E" w:rsidRPr="0020730D" w:rsidRDefault="0015447E" w:rsidP="00D72B39">
            <w:pPr>
              <w:jc w:val="right"/>
              <w:rPr>
                <w:rFonts w:ascii="Calibri" w:hAnsi="Calibri" w:cs="Calibri"/>
                <w:b/>
                <w:color w:val="000000"/>
              </w:rPr>
            </w:pPr>
          </w:p>
        </w:tc>
      </w:tr>
    </w:tbl>
    <w:p w:rsidR="0015447E" w:rsidRDefault="0015447E" w:rsidP="0015447E">
      <w:pPr>
        <w:rPr>
          <w:rFonts w:ascii="Times New Roman" w:hAnsi="Times New Roman"/>
          <w:sz w:val="20"/>
          <w:szCs w:val="20"/>
        </w:rPr>
      </w:pPr>
    </w:p>
    <w:p w:rsidR="0015447E" w:rsidRPr="00D02E1D" w:rsidRDefault="0015447E" w:rsidP="003F2FA7">
      <w:pPr>
        <w:pStyle w:val="Default"/>
        <w:rPr>
          <w:b/>
          <w:sz w:val="20"/>
          <w:szCs w:val="20"/>
        </w:rPr>
      </w:pPr>
    </w:p>
    <w:sectPr w:rsidR="0015447E" w:rsidRPr="00D02E1D" w:rsidSect="00CF3A08">
      <w:headerReference w:type="default" r:id="rId10"/>
      <w:footerReference w:type="first" r:id="rId11"/>
      <w:pgSz w:w="11909" w:h="16834" w:code="9"/>
      <w:pgMar w:top="1440" w:right="1152" w:bottom="1008" w:left="1152" w:header="619" w:footer="619" w:gutter="0"/>
      <w:paperSrc w:first="7" w:other="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8D3" w:rsidRDefault="00F828D3">
      <w:r>
        <w:separator/>
      </w:r>
    </w:p>
  </w:endnote>
  <w:endnote w:type="continuationSeparator" w:id="0">
    <w:p w:rsidR="00F828D3" w:rsidRDefault="00F82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8D3" w:rsidRDefault="00F828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32</w:t>
    </w:r>
    <w:r>
      <w:rPr>
        <w:rStyle w:val="PageNumber"/>
      </w:rPr>
      <w:fldChar w:fldCharType="end"/>
    </w:r>
  </w:p>
  <w:p w:rsidR="00F828D3" w:rsidRDefault="00F828D3">
    <w:pPr>
      <w:pStyle w:val="Footer"/>
      <w:tabs>
        <w:tab w:val="center" w:pos="4770"/>
      </w:tabs>
    </w:pPr>
    <w:r>
      <w:rPr>
        <w:sz w:val="14"/>
      </w:rPr>
      <w:fldChar w:fldCharType="begin"/>
    </w:r>
    <w:r>
      <w:rPr>
        <w:sz w:val="14"/>
      </w:rPr>
      <w:instrText xml:space="preserve"> KEYWORDS  \* MERGEFORMAT </w:instrText>
    </w:r>
    <w:r>
      <w:rPr>
        <w:sz w:val="14"/>
      </w:rPr>
      <w:fldChar w:fldCharType="end"/>
    </w:r>
    <w:r>
      <w:rPr>
        <w:sz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8D3" w:rsidRDefault="00F828D3">
      <w:r>
        <w:separator/>
      </w:r>
    </w:p>
  </w:footnote>
  <w:footnote w:type="continuationSeparator" w:id="0">
    <w:p w:rsidR="00F828D3" w:rsidRDefault="00F828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8D3" w:rsidRPr="00717184" w:rsidRDefault="00F828D3" w:rsidP="00C61E97">
    <w:pPr>
      <w:pStyle w:val="Header"/>
      <w:jc w:val="right"/>
      <w:rPr>
        <w:sz w:val="16"/>
        <w:szCs w:val="16"/>
      </w:rPr>
    </w:pPr>
    <w:r w:rsidRPr="00717184">
      <w:rPr>
        <w:sz w:val="16"/>
        <w:szCs w:val="16"/>
      </w:rPr>
      <w:t>F</w:t>
    </w:r>
    <w:r>
      <w:rPr>
        <w:sz w:val="16"/>
        <w:szCs w:val="16"/>
      </w:rPr>
      <w:t>5</w:t>
    </w:r>
    <w:r w:rsidRPr="00717184">
      <w:rPr>
        <w:sz w:val="16"/>
        <w:szCs w:val="16"/>
      </w:rPr>
      <w:t xml:space="preserve"> – Audit Report</w:t>
    </w:r>
    <w:r>
      <w:rPr>
        <w:sz w:val="16"/>
        <w:szCs w:val="16"/>
      </w:rPr>
      <w:t xml:space="preserve"> (Revised </w:t>
    </w:r>
    <w:r w:rsidR="000C6DF9">
      <w:rPr>
        <w:sz w:val="16"/>
        <w:szCs w:val="16"/>
      </w:rPr>
      <w:t>Oct 19</w:t>
    </w:r>
    <w:r>
      <w:rPr>
        <w:sz w:val="16"/>
        <w:szCs w:val="16"/>
      </w:rPr>
      <w:t>)</w:t>
    </w:r>
  </w:p>
  <w:p w:rsidR="00F828D3" w:rsidRPr="00717184" w:rsidRDefault="00F828D3">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23F4"/>
    <w:multiLevelType w:val="hybridMultilevel"/>
    <w:tmpl w:val="020AB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F0E81"/>
    <w:multiLevelType w:val="hybridMultilevel"/>
    <w:tmpl w:val="F9EA0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AB4763"/>
    <w:multiLevelType w:val="hybridMultilevel"/>
    <w:tmpl w:val="90EE870C"/>
    <w:lvl w:ilvl="0" w:tplc="4B66F8C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0242A"/>
    <w:multiLevelType w:val="hybridMultilevel"/>
    <w:tmpl w:val="2D686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8165E"/>
    <w:multiLevelType w:val="hybridMultilevel"/>
    <w:tmpl w:val="D700C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D24B31"/>
    <w:multiLevelType w:val="hybridMultilevel"/>
    <w:tmpl w:val="96000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D93390"/>
    <w:multiLevelType w:val="hybridMultilevel"/>
    <w:tmpl w:val="A0EAA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6F33F4"/>
    <w:multiLevelType w:val="hybridMultilevel"/>
    <w:tmpl w:val="B556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634E7"/>
    <w:multiLevelType w:val="hybridMultilevel"/>
    <w:tmpl w:val="7FE631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B9279B0"/>
    <w:multiLevelType w:val="hybridMultilevel"/>
    <w:tmpl w:val="3BA459F6"/>
    <w:lvl w:ilvl="0" w:tplc="08090001">
      <w:start w:val="1"/>
      <w:numFmt w:val="bullet"/>
      <w:lvlText w:val=""/>
      <w:lvlJc w:val="left"/>
      <w:pPr>
        <w:ind w:left="687" w:hanging="360"/>
      </w:pPr>
      <w:rPr>
        <w:rFonts w:ascii="Symbol" w:hAnsi="Symbol" w:hint="default"/>
      </w:rPr>
    </w:lvl>
    <w:lvl w:ilvl="1" w:tplc="08090003" w:tentative="1">
      <w:start w:val="1"/>
      <w:numFmt w:val="bullet"/>
      <w:lvlText w:val="o"/>
      <w:lvlJc w:val="left"/>
      <w:pPr>
        <w:ind w:left="1407" w:hanging="360"/>
      </w:pPr>
      <w:rPr>
        <w:rFonts w:ascii="Courier New" w:hAnsi="Courier New" w:cs="Courier New" w:hint="default"/>
      </w:rPr>
    </w:lvl>
    <w:lvl w:ilvl="2" w:tplc="08090005" w:tentative="1">
      <w:start w:val="1"/>
      <w:numFmt w:val="bullet"/>
      <w:lvlText w:val=""/>
      <w:lvlJc w:val="left"/>
      <w:pPr>
        <w:ind w:left="2127" w:hanging="360"/>
      </w:pPr>
      <w:rPr>
        <w:rFonts w:ascii="Wingdings" w:hAnsi="Wingdings" w:hint="default"/>
      </w:rPr>
    </w:lvl>
    <w:lvl w:ilvl="3" w:tplc="08090001" w:tentative="1">
      <w:start w:val="1"/>
      <w:numFmt w:val="bullet"/>
      <w:lvlText w:val=""/>
      <w:lvlJc w:val="left"/>
      <w:pPr>
        <w:ind w:left="2847" w:hanging="360"/>
      </w:pPr>
      <w:rPr>
        <w:rFonts w:ascii="Symbol" w:hAnsi="Symbol" w:hint="default"/>
      </w:rPr>
    </w:lvl>
    <w:lvl w:ilvl="4" w:tplc="08090003" w:tentative="1">
      <w:start w:val="1"/>
      <w:numFmt w:val="bullet"/>
      <w:lvlText w:val="o"/>
      <w:lvlJc w:val="left"/>
      <w:pPr>
        <w:ind w:left="3567" w:hanging="360"/>
      </w:pPr>
      <w:rPr>
        <w:rFonts w:ascii="Courier New" w:hAnsi="Courier New" w:cs="Courier New" w:hint="default"/>
      </w:rPr>
    </w:lvl>
    <w:lvl w:ilvl="5" w:tplc="08090005" w:tentative="1">
      <w:start w:val="1"/>
      <w:numFmt w:val="bullet"/>
      <w:lvlText w:val=""/>
      <w:lvlJc w:val="left"/>
      <w:pPr>
        <w:ind w:left="4287" w:hanging="360"/>
      </w:pPr>
      <w:rPr>
        <w:rFonts w:ascii="Wingdings" w:hAnsi="Wingdings" w:hint="default"/>
      </w:rPr>
    </w:lvl>
    <w:lvl w:ilvl="6" w:tplc="08090001" w:tentative="1">
      <w:start w:val="1"/>
      <w:numFmt w:val="bullet"/>
      <w:lvlText w:val=""/>
      <w:lvlJc w:val="left"/>
      <w:pPr>
        <w:ind w:left="5007" w:hanging="360"/>
      </w:pPr>
      <w:rPr>
        <w:rFonts w:ascii="Symbol" w:hAnsi="Symbol" w:hint="default"/>
      </w:rPr>
    </w:lvl>
    <w:lvl w:ilvl="7" w:tplc="08090003" w:tentative="1">
      <w:start w:val="1"/>
      <w:numFmt w:val="bullet"/>
      <w:lvlText w:val="o"/>
      <w:lvlJc w:val="left"/>
      <w:pPr>
        <w:ind w:left="5727" w:hanging="360"/>
      </w:pPr>
      <w:rPr>
        <w:rFonts w:ascii="Courier New" w:hAnsi="Courier New" w:cs="Courier New" w:hint="default"/>
      </w:rPr>
    </w:lvl>
    <w:lvl w:ilvl="8" w:tplc="08090005" w:tentative="1">
      <w:start w:val="1"/>
      <w:numFmt w:val="bullet"/>
      <w:lvlText w:val=""/>
      <w:lvlJc w:val="left"/>
      <w:pPr>
        <w:ind w:left="6447" w:hanging="360"/>
      </w:pPr>
      <w:rPr>
        <w:rFonts w:ascii="Wingdings" w:hAnsi="Wingdings" w:hint="default"/>
      </w:rPr>
    </w:lvl>
  </w:abstractNum>
  <w:abstractNum w:abstractNumId="10" w15:restartNumberingAfterBreak="0">
    <w:nsid w:val="1D8D5B70"/>
    <w:multiLevelType w:val="multilevel"/>
    <w:tmpl w:val="357EABE6"/>
    <w:lvl w:ilvl="0">
      <w:start w:val="1"/>
      <w:numFmt w:val="decimal"/>
      <w:lvlText w:val="%1."/>
      <w:lvlJc w:val="left"/>
      <w:pPr>
        <w:tabs>
          <w:tab w:val="num" w:pos="720"/>
        </w:tabs>
        <w:ind w:left="720" w:hanging="72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1E804005"/>
    <w:multiLevelType w:val="hybridMultilevel"/>
    <w:tmpl w:val="234EDBFC"/>
    <w:lvl w:ilvl="0" w:tplc="96FA604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F06389"/>
    <w:multiLevelType w:val="hybridMultilevel"/>
    <w:tmpl w:val="76FE530E"/>
    <w:lvl w:ilvl="0" w:tplc="C5D8988E">
      <w:start w:val="1"/>
      <w:numFmt w:val="bulle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EB3E34"/>
    <w:multiLevelType w:val="hybridMultilevel"/>
    <w:tmpl w:val="15E69A6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4" w15:restartNumberingAfterBreak="0">
    <w:nsid w:val="2392609F"/>
    <w:multiLevelType w:val="hybridMultilevel"/>
    <w:tmpl w:val="7096CB6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D36873"/>
    <w:multiLevelType w:val="multilevel"/>
    <w:tmpl w:val="D6946A32"/>
    <w:lvl w:ilvl="0">
      <w:start w:val="1"/>
      <w:numFmt w:val="none"/>
      <w:lvlText w:val="4"/>
      <w:lvlJc w:val="left"/>
      <w:pPr>
        <w:tabs>
          <w:tab w:val="num" w:pos="567"/>
        </w:tabs>
        <w:ind w:left="567" w:hanging="567"/>
      </w:pPr>
      <w:rPr>
        <w:rFonts w:hint="default"/>
      </w:rPr>
    </w:lvl>
    <w:lvl w:ilvl="1">
      <w:start w:val="1"/>
      <w:numFmt w:val="decimal"/>
      <w:lvlText w:val="%2%14.1"/>
      <w:lvlJc w:val="left"/>
      <w:pPr>
        <w:tabs>
          <w:tab w:val="num" w:pos="567"/>
        </w:tabs>
        <w:ind w:left="567" w:hanging="567"/>
      </w:pPr>
      <w:rPr>
        <w:rFonts w:hint="default"/>
        <w:b w:val="0"/>
        <w:i w:val="0"/>
      </w:rPr>
    </w:lvl>
    <w:lvl w:ilvl="2">
      <w:start w:val="1"/>
      <w:numFmt w:val="decimal"/>
      <w:lvlText w:val="%1.%2.%3"/>
      <w:lvlJc w:val="left"/>
      <w:pPr>
        <w:tabs>
          <w:tab w:val="num" w:pos="851"/>
        </w:tabs>
        <w:ind w:left="851" w:hanging="851"/>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9555092"/>
    <w:multiLevelType w:val="hybridMultilevel"/>
    <w:tmpl w:val="8C6A2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4E3922"/>
    <w:multiLevelType w:val="hybridMultilevel"/>
    <w:tmpl w:val="D57451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32432CE"/>
    <w:multiLevelType w:val="hybridMultilevel"/>
    <w:tmpl w:val="9EA23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1525ED"/>
    <w:multiLevelType w:val="hybridMultilevel"/>
    <w:tmpl w:val="749CE4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6C0A5A"/>
    <w:multiLevelType w:val="hybridMultilevel"/>
    <w:tmpl w:val="A1A498FE"/>
    <w:lvl w:ilvl="0" w:tplc="AF70016E">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7FF4C93"/>
    <w:multiLevelType w:val="hybridMultilevel"/>
    <w:tmpl w:val="B532D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9AB5C98"/>
    <w:multiLevelType w:val="hybridMultilevel"/>
    <w:tmpl w:val="0242D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B62411"/>
    <w:multiLevelType w:val="hybridMultilevel"/>
    <w:tmpl w:val="B894A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602310"/>
    <w:multiLevelType w:val="hybridMultilevel"/>
    <w:tmpl w:val="55EE0406"/>
    <w:lvl w:ilvl="0" w:tplc="9B5A5A0A">
      <w:start w:val="1"/>
      <w:numFmt w:val="decimal"/>
      <w:lvlText w:val="%1."/>
      <w:lvlJc w:val="left"/>
      <w:pPr>
        <w:ind w:left="1485" w:hanging="360"/>
      </w:pPr>
      <w:rPr>
        <w:rFonts w:hint="default"/>
        <w:b w:val="0"/>
      </w:rPr>
    </w:lvl>
    <w:lvl w:ilvl="1" w:tplc="08090019" w:tentative="1">
      <w:start w:val="1"/>
      <w:numFmt w:val="lowerLetter"/>
      <w:lvlText w:val="%2."/>
      <w:lvlJc w:val="left"/>
      <w:pPr>
        <w:ind w:left="1746" w:hanging="360"/>
      </w:pPr>
    </w:lvl>
    <w:lvl w:ilvl="2" w:tplc="0809001B" w:tentative="1">
      <w:start w:val="1"/>
      <w:numFmt w:val="lowerRoman"/>
      <w:lvlText w:val="%3."/>
      <w:lvlJc w:val="right"/>
      <w:pPr>
        <w:ind w:left="2466" w:hanging="180"/>
      </w:pPr>
    </w:lvl>
    <w:lvl w:ilvl="3" w:tplc="0809000F" w:tentative="1">
      <w:start w:val="1"/>
      <w:numFmt w:val="decimal"/>
      <w:lvlText w:val="%4."/>
      <w:lvlJc w:val="left"/>
      <w:pPr>
        <w:ind w:left="3186" w:hanging="360"/>
      </w:pPr>
    </w:lvl>
    <w:lvl w:ilvl="4" w:tplc="08090019" w:tentative="1">
      <w:start w:val="1"/>
      <w:numFmt w:val="lowerLetter"/>
      <w:lvlText w:val="%5."/>
      <w:lvlJc w:val="left"/>
      <w:pPr>
        <w:ind w:left="3906" w:hanging="360"/>
      </w:pPr>
    </w:lvl>
    <w:lvl w:ilvl="5" w:tplc="0809001B" w:tentative="1">
      <w:start w:val="1"/>
      <w:numFmt w:val="lowerRoman"/>
      <w:lvlText w:val="%6."/>
      <w:lvlJc w:val="right"/>
      <w:pPr>
        <w:ind w:left="4626" w:hanging="180"/>
      </w:pPr>
    </w:lvl>
    <w:lvl w:ilvl="6" w:tplc="0809000F" w:tentative="1">
      <w:start w:val="1"/>
      <w:numFmt w:val="decimal"/>
      <w:lvlText w:val="%7."/>
      <w:lvlJc w:val="left"/>
      <w:pPr>
        <w:ind w:left="5346" w:hanging="360"/>
      </w:pPr>
    </w:lvl>
    <w:lvl w:ilvl="7" w:tplc="08090019" w:tentative="1">
      <w:start w:val="1"/>
      <w:numFmt w:val="lowerLetter"/>
      <w:lvlText w:val="%8."/>
      <w:lvlJc w:val="left"/>
      <w:pPr>
        <w:ind w:left="6066" w:hanging="360"/>
      </w:pPr>
    </w:lvl>
    <w:lvl w:ilvl="8" w:tplc="0809001B" w:tentative="1">
      <w:start w:val="1"/>
      <w:numFmt w:val="lowerRoman"/>
      <w:lvlText w:val="%9."/>
      <w:lvlJc w:val="right"/>
      <w:pPr>
        <w:ind w:left="6786" w:hanging="180"/>
      </w:pPr>
    </w:lvl>
  </w:abstractNum>
  <w:abstractNum w:abstractNumId="25" w15:restartNumberingAfterBreak="0">
    <w:nsid w:val="5AF94B61"/>
    <w:multiLevelType w:val="hybridMultilevel"/>
    <w:tmpl w:val="41108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0295764"/>
    <w:multiLevelType w:val="hybridMultilevel"/>
    <w:tmpl w:val="C6B6DDC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9C7284"/>
    <w:multiLevelType w:val="hybridMultilevel"/>
    <w:tmpl w:val="DEEEED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7A72CF7"/>
    <w:multiLevelType w:val="hybridMultilevel"/>
    <w:tmpl w:val="99DAD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6E0EBE"/>
    <w:multiLevelType w:val="multilevel"/>
    <w:tmpl w:val="68BA132C"/>
    <w:lvl w:ilvl="0">
      <w:start w:val="2"/>
      <w:numFmt w:val="none"/>
      <w:pStyle w:val="ListNumber5"/>
      <w:lvlText w:val="7"/>
      <w:lvlJc w:val="left"/>
      <w:pPr>
        <w:tabs>
          <w:tab w:val="num" w:pos="570"/>
        </w:tabs>
        <w:ind w:left="570" w:hanging="570"/>
      </w:pPr>
      <w:rPr>
        <w:rFonts w:hint="default"/>
        <w:b/>
        <w:i w:val="0"/>
      </w:rPr>
    </w:lvl>
    <w:lvl w:ilvl="1">
      <w:start w:val="2"/>
      <w:numFmt w:val="decimal"/>
      <w:lvlText w:val="%17.1"/>
      <w:lvlJc w:val="left"/>
      <w:pPr>
        <w:tabs>
          <w:tab w:val="num" w:pos="723"/>
        </w:tabs>
        <w:ind w:left="723" w:hanging="570"/>
      </w:pPr>
      <w:rPr>
        <w:rFonts w:hint="default"/>
      </w:rPr>
    </w:lvl>
    <w:lvl w:ilvl="2">
      <w:start w:val="2"/>
      <w:numFmt w:val="decimal"/>
      <w:lvlText w:val="%17.2"/>
      <w:lvlJc w:val="left"/>
      <w:pPr>
        <w:tabs>
          <w:tab w:val="num" w:pos="1593"/>
        </w:tabs>
        <w:ind w:left="1593" w:hanging="720"/>
      </w:pPr>
      <w:rPr>
        <w:rFonts w:hint="default"/>
      </w:rPr>
    </w:lvl>
    <w:lvl w:ilvl="3">
      <w:start w:val="3"/>
      <w:numFmt w:val="decimal"/>
      <w:lvlText w:val="%1.%4"/>
      <w:lvlJc w:val="left"/>
      <w:pPr>
        <w:tabs>
          <w:tab w:val="num" w:pos="2313"/>
        </w:tabs>
        <w:ind w:left="2313" w:hanging="720"/>
      </w:pPr>
      <w:rPr>
        <w:rFonts w:hint="default"/>
      </w:rPr>
    </w:lvl>
    <w:lvl w:ilvl="4">
      <w:start w:val="4"/>
      <w:numFmt w:val="decimal"/>
      <w:lvlText w:val="%1.%5"/>
      <w:lvlJc w:val="left"/>
      <w:pPr>
        <w:tabs>
          <w:tab w:val="num" w:pos="3393"/>
        </w:tabs>
        <w:ind w:left="3393" w:hanging="1080"/>
      </w:pPr>
      <w:rPr>
        <w:rFonts w:hint="default"/>
      </w:rPr>
    </w:lvl>
    <w:lvl w:ilvl="5">
      <w:start w:val="5"/>
      <w:numFmt w:val="decimal"/>
      <w:lvlText w:val="%1.5"/>
      <w:lvlJc w:val="left"/>
      <w:pPr>
        <w:tabs>
          <w:tab w:val="num" w:pos="4113"/>
        </w:tabs>
        <w:ind w:left="4113" w:hanging="1080"/>
      </w:pPr>
      <w:rPr>
        <w:rFonts w:hint="default"/>
      </w:rPr>
    </w:lvl>
    <w:lvl w:ilvl="6">
      <w:start w:val="1"/>
      <w:numFmt w:val="decimal"/>
      <w:lvlText w:val="%1.%2.%3.%4.%5.%6.%7"/>
      <w:lvlJc w:val="left"/>
      <w:pPr>
        <w:tabs>
          <w:tab w:val="num" w:pos="5193"/>
        </w:tabs>
        <w:ind w:left="5193" w:hanging="1440"/>
      </w:pPr>
      <w:rPr>
        <w:rFonts w:hint="default"/>
      </w:rPr>
    </w:lvl>
    <w:lvl w:ilvl="7">
      <w:start w:val="1"/>
      <w:numFmt w:val="decimal"/>
      <w:lvlText w:val="%1.%2.%3.%4.%5.%6.%7.%8"/>
      <w:lvlJc w:val="left"/>
      <w:pPr>
        <w:tabs>
          <w:tab w:val="num" w:pos="5913"/>
        </w:tabs>
        <w:ind w:left="5913" w:hanging="1440"/>
      </w:pPr>
      <w:rPr>
        <w:rFonts w:hint="default"/>
      </w:rPr>
    </w:lvl>
    <w:lvl w:ilvl="8">
      <w:start w:val="1"/>
      <w:numFmt w:val="decimal"/>
      <w:lvlText w:val="%1.%2.%3.%4.%5.%6.%7.%8.%9"/>
      <w:lvlJc w:val="left"/>
      <w:pPr>
        <w:tabs>
          <w:tab w:val="num" w:pos="6993"/>
        </w:tabs>
        <w:ind w:left="6993" w:hanging="1800"/>
      </w:pPr>
      <w:rPr>
        <w:rFonts w:hint="default"/>
      </w:rPr>
    </w:lvl>
  </w:abstractNum>
  <w:abstractNum w:abstractNumId="30" w15:restartNumberingAfterBreak="0">
    <w:nsid w:val="70332CA6"/>
    <w:multiLevelType w:val="hybridMultilevel"/>
    <w:tmpl w:val="14A8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827B21"/>
    <w:multiLevelType w:val="hybridMultilevel"/>
    <w:tmpl w:val="EB6C0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FD6619"/>
    <w:multiLevelType w:val="hybridMultilevel"/>
    <w:tmpl w:val="71A40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B55D7A"/>
    <w:multiLevelType w:val="hybridMultilevel"/>
    <w:tmpl w:val="FFE46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9"/>
  </w:num>
  <w:num w:numId="3">
    <w:abstractNumId w:val="19"/>
  </w:num>
  <w:num w:numId="4">
    <w:abstractNumId w:val="16"/>
  </w:num>
  <w:num w:numId="5">
    <w:abstractNumId w:val="22"/>
  </w:num>
  <w:num w:numId="6">
    <w:abstractNumId w:val="18"/>
  </w:num>
  <w:num w:numId="7">
    <w:abstractNumId w:val="5"/>
  </w:num>
  <w:num w:numId="8">
    <w:abstractNumId w:val="32"/>
  </w:num>
  <w:num w:numId="9">
    <w:abstractNumId w:val="3"/>
  </w:num>
  <w:num w:numId="10">
    <w:abstractNumId w:val="7"/>
  </w:num>
  <w:num w:numId="11">
    <w:abstractNumId w:val="31"/>
  </w:num>
  <w:num w:numId="12">
    <w:abstractNumId w:val="0"/>
  </w:num>
  <w:num w:numId="13">
    <w:abstractNumId w:val="24"/>
  </w:num>
  <w:num w:numId="14">
    <w:abstractNumId w:val="13"/>
  </w:num>
  <w:num w:numId="15">
    <w:abstractNumId w:val="30"/>
  </w:num>
  <w:num w:numId="16">
    <w:abstractNumId w:val="23"/>
  </w:num>
  <w:num w:numId="17">
    <w:abstractNumId w:val="22"/>
  </w:num>
  <w:num w:numId="18">
    <w:abstractNumId w:val="3"/>
  </w:num>
  <w:num w:numId="19">
    <w:abstractNumId w:val="7"/>
  </w:num>
  <w:num w:numId="20">
    <w:abstractNumId w:val="27"/>
  </w:num>
  <w:num w:numId="21">
    <w:abstractNumId w:val="10"/>
  </w:num>
  <w:num w:numId="22">
    <w:abstractNumId w:val="12"/>
  </w:num>
  <w:num w:numId="23">
    <w:abstractNumId w:val="14"/>
  </w:num>
  <w:num w:numId="24">
    <w:abstractNumId w:val="9"/>
  </w:num>
  <w:num w:numId="25">
    <w:abstractNumId w:val="2"/>
  </w:num>
  <w:num w:numId="26">
    <w:abstractNumId w:val="33"/>
  </w:num>
  <w:num w:numId="27">
    <w:abstractNumId w:val="20"/>
  </w:num>
  <w:num w:numId="28">
    <w:abstractNumId w:val="26"/>
  </w:num>
  <w:num w:numId="29">
    <w:abstractNumId w:val="28"/>
  </w:num>
  <w:num w:numId="30">
    <w:abstractNumId w:val="17"/>
  </w:num>
  <w:num w:numId="31">
    <w:abstractNumId w:val="8"/>
  </w:num>
  <w:num w:numId="32">
    <w:abstractNumId w:val="11"/>
  </w:num>
  <w:num w:numId="33">
    <w:abstractNumId w:val="17"/>
  </w:num>
  <w:num w:numId="34">
    <w:abstractNumId w:val="25"/>
  </w:num>
  <w:num w:numId="35">
    <w:abstractNumId w:val="1"/>
  </w:num>
  <w:num w:numId="36">
    <w:abstractNumId w:val="4"/>
  </w:num>
  <w:num w:numId="37">
    <w:abstractNumId w:val="21"/>
  </w:num>
  <w:num w:numId="3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30401" fillcolor="silver" stroke="f">
      <v:fill color="silver" opacity="22938f"/>
      <v:stroke on="f"/>
      <v:shadow color="#868686"/>
      <o:colormru v:ext="edit" colors="#e2e2e2,#f5f5f5,#f1f1f1,#c1c1c1,#dedede,#ececec,#f9f9f9,#ee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5D1"/>
    <w:rsid w:val="00002301"/>
    <w:rsid w:val="00006B1E"/>
    <w:rsid w:val="00007A0C"/>
    <w:rsid w:val="0001409E"/>
    <w:rsid w:val="00014704"/>
    <w:rsid w:val="000154FA"/>
    <w:rsid w:val="0001638A"/>
    <w:rsid w:val="00017D1B"/>
    <w:rsid w:val="000234F5"/>
    <w:rsid w:val="000246D7"/>
    <w:rsid w:val="00027866"/>
    <w:rsid w:val="0002789B"/>
    <w:rsid w:val="00030FCD"/>
    <w:rsid w:val="000310F2"/>
    <w:rsid w:val="00031CF4"/>
    <w:rsid w:val="00035F0E"/>
    <w:rsid w:val="00040029"/>
    <w:rsid w:val="00050BFB"/>
    <w:rsid w:val="000548C3"/>
    <w:rsid w:val="000773BE"/>
    <w:rsid w:val="00077746"/>
    <w:rsid w:val="000801EC"/>
    <w:rsid w:val="00084966"/>
    <w:rsid w:val="00085A1C"/>
    <w:rsid w:val="000902B7"/>
    <w:rsid w:val="000924CA"/>
    <w:rsid w:val="00093DBF"/>
    <w:rsid w:val="000A4FE4"/>
    <w:rsid w:val="000A550A"/>
    <w:rsid w:val="000A5CFD"/>
    <w:rsid w:val="000A5EAA"/>
    <w:rsid w:val="000A7833"/>
    <w:rsid w:val="000B6CAA"/>
    <w:rsid w:val="000C6DF9"/>
    <w:rsid w:val="000D0878"/>
    <w:rsid w:val="000D1A96"/>
    <w:rsid w:val="000D1BFD"/>
    <w:rsid w:val="000D4856"/>
    <w:rsid w:val="000D5E22"/>
    <w:rsid w:val="000E048F"/>
    <w:rsid w:val="000E098B"/>
    <w:rsid w:val="000E11FA"/>
    <w:rsid w:val="000E1BF4"/>
    <w:rsid w:val="000E367F"/>
    <w:rsid w:val="000E4804"/>
    <w:rsid w:val="000F39BF"/>
    <w:rsid w:val="000F7CD7"/>
    <w:rsid w:val="00100BCB"/>
    <w:rsid w:val="00104320"/>
    <w:rsid w:val="00105C87"/>
    <w:rsid w:val="00106C7D"/>
    <w:rsid w:val="001111D2"/>
    <w:rsid w:val="001113C5"/>
    <w:rsid w:val="00111F1A"/>
    <w:rsid w:val="001154D8"/>
    <w:rsid w:val="001178F3"/>
    <w:rsid w:val="00133787"/>
    <w:rsid w:val="00147DE0"/>
    <w:rsid w:val="00150B69"/>
    <w:rsid w:val="001531FB"/>
    <w:rsid w:val="0015447E"/>
    <w:rsid w:val="001631D3"/>
    <w:rsid w:val="0016364D"/>
    <w:rsid w:val="001652D0"/>
    <w:rsid w:val="00167593"/>
    <w:rsid w:val="00171072"/>
    <w:rsid w:val="0017277B"/>
    <w:rsid w:val="00173B26"/>
    <w:rsid w:val="00173C51"/>
    <w:rsid w:val="00182094"/>
    <w:rsid w:val="001822BF"/>
    <w:rsid w:val="001837B6"/>
    <w:rsid w:val="0018633C"/>
    <w:rsid w:val="00187448"/>
    <w:rsid w:val="00191008"/>
    <w:rsid w:val="00191DF6"/>
    <w:rsid w:val="00197447"/>
    <w:rsid w:val="001A121A"/>
    <w:rsid w:val="001A2CE8"/>
    <w:rsid w:val="001A4698"/>
    <w:rsid w:val="001A4F7E"/>
    <w:rsid w:val="001A73C9"/>
    <w:rsid w:val="001A7A3B"/>
    <w:rsid w:val="001B599E"/>
    <w:rsid w:val="001C014A"/>
    <w:rsid w:val="001C20D1"/>
    <w:rsid w:val="001C3682"/>
    <w:rsid w:val="001C4C66"/>
    <w:rsid w:val="001C4D22"/>
    <w:rsid w:val="001C5D5D"/>
    <w:rsid w:val="001C6685"/>
    <w:rsid w:val="001C68C2"/>
    <w:rsid w:val="001C7671"/>
    <w:rsid w:val="001D536C"/>
    <w:rsid w:val="001D6574"/>
    <w:rsid w:val="001E0430"/>
    <w:rsid w:val="001E05E5"/>
    <w:rsid w:val="001E5FAE"/>
    <w:rsid w:val="001E7269"/>
    <w:rsid w:val="001F06B5"/>
    <w:rsid w:val="001F44DD"/>
    <w:rsid w:val="0020024F"/>
    <w:rsid w:val="00200D33"/>
    <w:rsid w:val="00200F4C"/>
    <w:rsid w:val="00200FA7"/>
    <w:rsid w:val="0020448C"/>
    <w:rsid w:val="0020679A"/>
    <w:rsid w:val="0020730D"/>
    <w:rsid w:val="00213EE1"/>
    <w:rsid w:val="002151A5"/>
    <w:rsid w:val="002245AB"/>
    <w:rsid w:val="002276BC"/>
    <w:rsid w:val="00227D6D"/>
    <w:rsid w:val="0024010E"/>
    <w:rsid w:val="002402CD"/>
    <w:rsid w:val="002418E8"/>
    <w:rsid w:val="00242DD9"/>
    <w:rsid w:val="0024585C"/>
    <w:rsid w:val="00247031"/>
    <w:rsid w:val="00251A80"/>
    <w:rsid w:val="0025646D"/>
    <w:rsid w:val="00257465"/>
    <w:rsid w:val="00265804"/>
    <w:rsid w:val="00266FF0"/>
    <w:rsid w:val="00270F09"/>
    <w:rsid w:val="00270F41"/>
    <w:rsid w:val="002747E5"/>
    <w:rsid w:val="002764C1"/>
    <w:rsid w:val="00276FFA"/>
    <w:rsid w:val="0027732A"/>
    <w:rsid w:val="00284989"/>
    <w:rsid w:val="0029130D"/>
    <w:rsid w:val="00291B8A"/>
    <w:rsid w:val="00291FEB"/>
    <w:rsid w:val="00292C1B"/>
    <w:rsid w:val="002962A8"/>
    <w:rsid w:val="00296BA6"/>
    <w:rsid w:val="00297088"/>
    <w:rsid w:val="002A2616"/>
    <w:rsid w:val="002A4A38"/>
    <w:rsid w:val="002A745B"/>
    <w:rsid w:val="002C5F3C"/>
    <w:rsid w:val="002C6B94"/>
    <w:rsid w:val="002D643D"/>
    <w:rsid w:val="002D72F9"/>
    <w:rsid w:val="002E365F"/>
    <w:rsid w:val="002E5D8A"/>
    <w:rsid w:val="002F0BE3"/>
    <w:rsid w:val="002F720A"/>
    <w:rsid w:val="002F768B"/>
    <w:rsid w:val="00300CE1"/>
    <w:rsid w:val="00305173"/>
    <w:rsid w:val="00305FFF"/>
    <w:rsid w:val="00306347"/>
    <w:rsid w:val="0030649F"/>
    <w:rsid w:val="003065E3"/>
    <w:rsid w:val="00307E5A"/>
    <w:rsid w:val="003208B2"/>
    <w:rsid w:val="003253A6"/>
    <w:rsid w:val="0032558F"/>
    <w:rsid w:val="00326D11"/>
    <w:rsid w:val="00327BC2"/>
    <w:rsid w:val="00330374"/>
    <w:rsid w:val="003311E6"/>
    <w:rsid w:val="003324A1"/>
    <w:rsid w:val="00333EFE"/>
    <w:rsid w:val="003358A1"/>
    <w:rsid w:val="00336072"/>
    <w:rsid w:val="0034269A"/>
    <w:rsid w:val="00342DC0"/>
    <w:rsid w:val="00342F86"/>
    <w:rsid w:val="003458B1"/>
    <w:rsid w:val="00347804"/>
    <w:rsid w:val="003507BB"/>
    <w:rsid w:val="00350FD1"/>
    <w:rsid w:val="00355093"/>
    <w:rsid w:val="00356449"/>
    <w:rsid w:val="00363330"/>
    <w:rsid w:val="00365042"/>
    <w:rsid w:val="00371648"/>
    <w:rsid w:val="003777F8"/>
    <w:rsid w:val="00381A3C"/>
    <w:rsid w:val="00381D70"/>
    <w:rsid w:val="003831FB"/>
    <w:rsid w:val="003917EC"/>
    <w:rsid w:val="00391E4E"/>
    <w:rsid w:val="00395906"/>
    <w:rsid w:val="0039757A"/>
    <w:rsid w:val="003A08FA"/>
    <w:rsid w:val="003A0DBA"/>
    <w:rsid w:val="003A7362"/>
    <w:rsid w:val="003B00C4"/>
    <w:rsid w:val="003B2D5A"/>
    <w:rsid w:val="003B4137"/>
    <w:rsid w:val="003B4797"/>
    <w:rsid w:val="003C2017"/>
    <w:rsid w:val="003C2594"/>
    <w:rsid w:val="003C30D7"/>
    <w:rsid w:val="003C349F"/>
    <w:rsid w:val="003C44F2"/>
    <w:rsid w:val="003C49B3"/>
    <w:rsid w:val="003C539C"/>
    <w:rsid w:val="003C5465"/>
    <w:rsid w:val="003C63AC"/>
    <w:rsid w:val="003D2851"/>
    <w:rsid w:val="003D32A5"/>
    <w:rsid w:val="003D604C"/>
    <w:rsid w:val="003D66A7"/>
    <w:rsid w:val="003E3BF4"/>
    <w:rsid w:val="003E5F02"/>
    <w:rsid w:val="003E5F4F"/>
    <w:rsid w:val="003E7D33"/>
    <w:rsid w:val="003F2FA7"/>
    <w:rsid w:val="003F3214"/>
    <w:rsid w:val="003F3380"/>
    <w:rsid w:val="003F688E"/>
    <w:rsid w:val="00402841"/>
    <w:rsid w:val="004028F3"/>
    <w:rsid w:val="004041D3"/>
    <w:rsid w:val="00404E72"/>
    <w:rsid w:val="00405663"/>
    <w:rsid w:val="004058B4"/>
    <w:rsid w:val="00405C83"/>
    <w:rsid w:val="004144C3"/>
    <w:rsid w:val="004145F0"/>
    <w:rsid w:val="00414BE1"/>
    <w:rsid w:val="00414EF7"/>
    <w:rsid w:val="004163C4"/>
    <w:rsid w:val="00420B8C"/>
    <w:rsid w:val="00421B8E"/>
    <w:rsid w:val="00423091"/>
    <w:rsid w:val="004233B7"/>
    <w:rsid w:val="004244EA"/>
    <w:rsid w:val="00430CB3"/>
    <w:rsid w:val="00430ECE"/>
    <w:rsid w:val="00436289"/>
    <w:rsid w:val="00441164"/>
    <w:rsid w:val="00442083"/>
    <w:rsid w:val="0044317C"/>
    <w:rsid w:val="00443762"/>
    <w:rsid w:val="00444D63"/>
    <w:rsid w:val="00450A64"/>
    <w:rsid w:val="00455C3D"/>
    <w:rsid w:val="004560C3"/>
    <w:rsid w:val="00457541"/>
    <w:rsid w:val="004628FD"/>
    <w:rsid w:val="00467C15"/>
    <w:rsid w:val="0047132A"/>
    <w:rsid w:val="00474D28"/>
    <w:rsid w:val="00475D46"/>
    <w:rsid w:val="00497F4E"/>
    <w:rsid w:val="004A11B7"/>
    <w:rsid w:val="004A3459"/>
    <w:rsid w:val="004A49F9"/>
    <w:rsid w:val="004A5F2A"/>
    <w:rsid w:val="004B34C2"/>
    <w:rsid w:val="004C0EAD"/>
    <w:rsid w:val="004C230D"/>
    <w:rsid w:val="004C4505"/>
    <w:rsid w:val="004C4EAF"/>
    <w:rsid w:val="004D098E"/>
    <w:rsid w:val="004D289C"/>
    <w:rsid w:val="004D4E67"/>
    <w:rsid w:val="004D650D"/>
    <w:rsid w:val="004D6E5C"/>
    <w:rsid w:val="004E6297"/>
    <w:rsid w:val="004E7A8A"/>
    <w:rsid w:val="004F2324"/>
    <w:rsid w:val="004F2371"/>
    <w:rsid w:val="00500C34"/>
    <w:rsid w:val="00501F20"/>
    <w:rsid w:val="0050387A"/>
    <w:rsid w:val="005050B4"/>
    <w:rsid w:val="00505D25"/>
    <w:rsid w:val="00511C84"/>
    <w:rsid w:val="00517DBF"/>
    <w:rsid w:val="00520D16"/>
    <w:rsid w:val="0052193B"/>
    <w:rsid w:val="0053000C"/>
    <w:rsid w:val="005347E1"/>
    <w:rsid w:val="0053601E"/>
    <w:rsid w:val="0053668F"/>
    <w:rsid w:val="0054156A"/>
    <w:rsid w:val="00543316"/>
    <w:rsid w:val="0054604C"/>
    <w:rsid w:val="00547FD1"/>
    <w:rsid w:val="005514EE"/>
    <w:rsid w:val="005533E0"/>
    <w:rsid w:val="00556225"/>
    <w:rsid w:val="005601AF"/>
    <w:rsid w:val="00566951"/>
    <w:rsid w:val="00571733"/>
    <w:rsid w:val="00572F47"/>
    <w:rsid w:val="00573B45"/>
    <w:rsid w:val="005810E3"/>
    <w:rsid w:val="005831BD"/>
    <w:rsid w:val="00584DAB"/>
    <w:rsid w:val="0058670F"/>
    <w:rsid w:val="00593869"/>
    <w:rsid w:val="00595D52"/>
    <w:rsid w:val="00597210"/>
    <w:rsid w:val="00597F7C"/>
    <w:rsid w:val="005A7D2B"/>
    <w:rsid w:val="005B2B70"/>
    <w:rsid w:val="005B425B"/>
    <w:rsid w:val="005C16C6"/>
    <w:rsid w:val="005C55B4"/>
    <w:rsid w:val="005C6D11"/>
    <w:rsid w:val="005D1D11"/>
    <w:rsid w:val="005D267C"/>
    <w:rsid w:val="005D56AF"/>
    <w:rsid w:val="005D61E9"/>
    <w:rsid w:val="005E074C"/>
    <w:rsid w:val="005E470E"/>
    <w:rsid w:val="00602E8A"/>
    <w:rsid w:val="00604A88"/>
    <w:rsid w:val="00611780"/>
    <w:rsid w:val="006157D9"/>
    <w:rsid w:val="006242AB"/>
    <w:rsid w:val="006274FA"/>
    <w:rsid w:val="0063188D"/>
    <w:rsid w:val="00635658"/>
    <w:rsid w:val="00636CEA"/>
    <w:rsid w:val="00636F7F"/>
    <w:rsid w:val="00640D92"/>
    <w:rsid w:val="00644713"/>
    <w:rsid w:val="00645FCE"/>
    <w:rsid w:val="00646449"/>
    <w:rsid w:val="006466D1"/>
    <w:rsid w:val="006506F6"/>
    <w:rsid w:val="00653E3C"/>
    <w:rsid w:val="00654D5A"/>
    <w:rsid w:val="00654F19"/>
    <w:rsid w:val="00657D21"/>
    <w:rsid w:val="00661889"/>
    <w:rsid w:val="006624CB"/>
    <w:rsid w:val="00663404"/>
    <w:rsid w:val="00664AB3"/>
    <w:rsid w:val="00671190"/>
    <w:rsid w:val="00671FFB"/>
    <w:rsid w:val="0068059C"/>
    <w:rsid w:val="0068284F"/>
    <w:rsid w:val="00696D49"/>
    <w:rsid w:val="006A0EC0"/>
    <w:rsid w:val="006A1A2E"/>
    <w:rsid w:val="006B136D"/>
    <w:rsid w:val="006B423A"/>
    <w:rsid w:val="006B6EDB"/>
    <w:rsid w:val="006B7445"/>
    <w:rsid w:val="006C1448"/>
    <w:rsid w:val="006C346F"/>
    <w:rsid w:val="006C4A9A"/>
    <w:rsid w:val="006C76BF"/>
    <w:rsid w:val="006D096E"/>
    <w:rsid w:val="006D265F"/>
    <w:rsid w:val="006D7100"/>
    <w:rsid w:val="006E294C"/>
    <w:rsid w:val="006E6DE3"/>
    <w:rsid w:val="006F40FA"/>
    <w:rsid w:val="006F4D87"/>
    <w:rsid w:val="007004E9"/>
    <w:rsid w:val="007008FD"/>
    <w:rsid w:val="00701777"/>
    <w:rsid w:val="007022A9"/>
    <w:rsid w:val="0070598A"/>
    <w:rsid w:val="0070698E"/>
    <w:rsid w:val="0070719F"/>
    <w:rsid w:val="00707374"/>
    <w:rsid w:val="007105AD"/>
    <w:rsid w:val="00711F40"/>
    <w:rsid w:val="0071280D"/>
    <w:rsid w:val="007159DD"/>
    <w:rsid w:val="00717184"/>
    <w:rsid w:val="007225C0"/>
    <w:rsid w:val="00722E04"/>
    <w:rsid w:val="007258D3"/>
    <w:rsid w:val="007368E5"/>
    <w:rsid w:val="007404BF"/>
    <w:rsid w:val="00744B21"/>
    <w:rsid w:val="00744D79"/>
    <w:rsid w:val="007457A1"/>
    <w:rsid w:val="00746B4C"/>
    <w:rsid w:val="00753049"/>
    <w:rsid w:val="00753940"/>
    <w:rsid w:val="007575BA"/>
    <w:rsid w:val="007612C9"/>
    <w:rsid w:val="007618B5"/>
    <w:rsid w:val="0076247D"/>
    <w:rsid w:val="00762608"/>
    <w:rsid w:val="00763B3F"/>
    <w:rsid w:val="00766B97"/>
    <w:rsid w:val="00767700"/>
    <w:rsid w:val="007725AA"/>
    <w:rsid w:val="00774BEB"/>
    <w:rsid w:val="00775B66"/>
    <w:rsid w:val="00777CD7"/>
    <w:rsid w:val="00783191"/>
    <w:rsid w:val="007977AE"/>
    <w:rsid w:val="00797B68"/>
    <w:rsid w:val="007A238F"/>
    <w:rsid w:val="007A4A88"/>
    <w:rsid w:val="007A7E81"/>
    <w:rsid w:val="007B2BE6"/>
    <w:rsid w:val="007B37AD"/>
    <w:rsid w:val="007B6098"/>
    <w:rsid w:val="007B76CE"/>
    <w:rsid w:val="007C2FDD"/>
    <w:rsid w:val="007D0650"/>
    <w:rsid w:val="007D140A"/>
    <w:rsid w:val="007D431F"/>
    <w:rsid w:val="007D5E71"/>
    <w:rsid w:val="007D68BB"/>
    <w:rsid w:val="007E08C3"/>
    <w:rsid w:val="007E34D9"/>
    <w:rsid w:val="007F2F6A"/>
    <w:rsid w:val="007F31C9"/>
    <w:rsid w:val="007F3A96"/>
    <w:rsid w:val="007F4E8D"/>
    <w:rsid w:val="007F6DDC"/>
    <w:rsid w:val="007F772D"/>
    <w:rsid w:val="00800C6A"/>
    <w:rsid w:val="00801C5B"/>
    <w:rsid w:val="00802FB6"/>
    <w:rsid w:val="0080373F"/>
    <w:rsid w:val="00804F4E"/>
    <w:rsid w:val="0081110F"/>
    <w:rsid w:val="008124EB"/>
    <w:rsid w:val="00821B49"/>
    <w:rsid w:val="00822523"/>
    <w:rsid w:val="0082361B"/>
    <w:rsid w:val="00827B71"/>
    <w:rsid w:val="00831999"/>
    <w:rsid w:val="00832396"/>
    <w:rsid w:val="008325A8"/>
    <w:rsid w:val="008336D4"/>
    <w:rsid w:val="008347B9"/>
    <w:rsid w:val="00835FF9"/>
    <w:rsid w:val="00836C6B"/>
    <w:rsid w:val="00836CF7"/>
    <w:rsid w:val="00837E94"/>
    <w:rsid w:val="00840E41"/>
    <w:rsid w:val="00841A0E"/>
    <w:rsid w:val="0084356C"/>
    <w:rsid w:val="00845779"/>
    <w:rsid w:val="00847AD9"/>
    <w:rsid w:val="00854A95"/>
    <w:rsid w:val="00854EF5"/>
    <w:rsid w:val="00855559"/>
    <w:rsid w:val="008578B7"/>
    <w:rsid w:val="00860231"/>
    <w:rsid w:val="00862B29"/>
    <w:rsid w:val="0086543F"/>
    <w:rsid w:val="00870F9F"/>
    <w:rsid w:val="00875E8F"/>
    <w:rsid w:val="00876DA4"/>
    <w:rsid w:val="00877D4D"/>
    <w:rsid w:val="0088716C"/>
    <w:rsid w:val="00890344"/>
    <w:rsid w:val="008917B1"/>
    <w:rsid w:val="00896C3F"/>
    <w:rsid w:val="008A21C4"/>
    <w:rsid w:val="008A7043"/>
    <w:rsid w:val="008B023B"/>
    <w:rsid w:val="008B4F3C"/>
    <w:rsid w:val="008B66A8"/>
    <w:rsid w:val="008B6E33"/>
    <w:rsid w:val="008C125B"/>
    <w:rsid w:val="008C1C58"/>
    <w:rsid w:val="008C1D99"/>
    <w:rsid w:val="008C2BB8"/>
    <w:rsid w:val="008C4335"/>
    <w:rsid w:val="008C67E4"/>
    <w:rsid w:val="008D1A2A"/>
    <w:rsid w:val="008E1E6A"/>
    <w:rsid w:val="008E733E"/>
    <w:rsid w:val="008F0130"/>
    <w:rsid w:val="008F4437"/>
    <w:rsid w:val="008F6F37"/>
    <w:rsid w:val="00901974"/>
    <w:rsid w:val="00901CAE"/>
    <w:rsid w:val="00901CD9"/>
    <w:rsid w:val="009031B0"/>
    <w:rsid w:val="00903754"/>
    <w:rsid w:val="0090731B"/>
    <w:rsid w:val="0091048D"/>
    <w:rsid w:val="00910E62"/>
    <w:rsid w:val="00913104"/>
    <w:rsid w:val="0091500B"/>
    <w:rsid w:val="009170E5"/>
    <w:rsid w:val="00920532"/>
    <w:rsid w:val="00924177"/>
    <w:rsid w:val="0092634D"/>
    <w:rsid w:val="0093029F"/>
    <w:rsid w:val="00935766"/>
    <w:rsid w:val="00940DA1"/>
    <w:rsid w:val="00941C42"/>
    <w:rsid w:val="00942A1B"/>
    <w:rsid w:val="0095152D"/>
    <w:rsid w:val="00952DED"/>
    <w:rsid w:val="009551C8"/>
    <w:rsid w:val="0095571F"/>
    <w:rsid w:val="0096043A"/>
    <w:rsid w:val="00961EDD"/>
    <w:rsid w:val="00965D6E"/>
    <w:rsid w:val="00967EB6"/>
    <w:rsid w:val="00970DD4"/>
    <w:rsid w:val="0097589E"/>
    <w:rsid w:val="009759EE"/>
    <w:rsid w:val="00977F90"/>
    <w:rsid w:val="0098036A"/>
    <w:rsid w:val="00980D4F"/>
    <w:rsid w:val="00981D1A"/>
    <w:rsid w:val="0098430D"/>
    <w:rsid w:val="00986E54"/>
    <w:rsid w:val="009932C2"/>
    <w:rsid w:val="00993A71"/>
    <w:rsid w:val="0099575C"/>
    <w:rsid w:val="009A5AD5"/>
    <w:rsid w:val="009A62B2"/>
    <w:rsid w:val="009A6D64"/>
    <w:rsid w:val="009A7895"/>
    <w:rsid w:val="009B0E63"/>
    <w:rsid w:val="009C6E59"/>
    <w:rsid w:val="009D142C"/>
    <w:rsid w:val="009D2EE7"/>
    <w:rsid w:val="009D3FDC"/>
    <w:rsid w:val="009E0695"/>
    <w:rsid w:val="009E14A6"/>
    <w:rsid w:val="009E17C2"/>
    <w:rsid w:val="009E36E9"/>
    <w:rsid w:val="009F19C8"/>
    <w:rsid w:val="009F4676"/>
    <w:rsid w:val="00A003FE"/>
    <w:rsid w:val="00A01DA7"/>
    <w:rsid w:val="00A02114"/>
    <w:rsid w:val="00A03469"/>
    <w:rsid w:val="00A03D4A"/>
    <w:rsid w:val="00A06ECB"/>
    <w:rsid w:val="00A100CF"/>
    <w:rsid w:val="00A107C1"/>
    <w:rsid w:val="00A14921"/>
    <w:rsid w:val="00A16729"/>
    <w:rsid w:val="00A169DF"/>
    <w:rsid w:val="00A16F96"/>
    <w:rsid w:val="00A24D24"/>
    <w:rsid w:val="00A24E52"/>
    <w:rsid w:val="00A33EA0"/>
    <w:rsid w:val="00A35271"/>
    <w:rsid w:val="00A3697D"/>
    <w:rsid w:val="00A40A4A"/>
    <w:rsid w:val="00A41857"/>
    <w:rsid w:val="00A42B29"/>
    <w:rsid w:val="00A432DA"/>
    <w:rsid w:val="00A471F2"/>
    <w:rsid w:val="00A566E8"/>
    <w:rsid w:val="00A56919"/>
    <w:rsid w:val="00A5737F"/>
    <w:rsid w:val="00A65F66"/>
    <w:rsid w:val="00A673FF"/>
    <w:rsid w:val="00A72BFD"/>
    <w:rsid w:val="00A742F3"/>
    <w:rsid w:val="00A77412"/>
    <w:rsid w:val="00A81793"/>
    <w:rsid w:val="00A8202E"/>
    <w:rsid w:val="00A82697"/>
    <w:rsid w:val="00A83F88"/>
    <w:rsid w:val="00A8702D"/>
    <w:rsid w:val="00A90FD9"/>
    <w:rsid w:val="00A91E73"/>
    <w:rsid w:val="00A934AE"/>
    <w:rsid w:val="00A973D7"/>
    <w:rsid w:val="00AA018A"/>
    <w:rsid w:val="00AA4A04"/>
    <w:rsid w:val="00AA57C8"/>
    <w:rsid w:val="00AA6016"/>
    <w:rsid w:val="00AB23BE"/>
    <w:rsid w:val="00AB5733"/>
    <w:rsid w:val="00AB6516"/>
    <w:rsid w:val="00AC0D64"/>
    <w:rsid w:val="00AC11BB"/>
    <w:rsid w:val="00AC18FF"/>
    <w:rsid w:val="00AC3AF7"/>
    <w:rsid w:val="00AC589E"/>
    <w:rsid w:val="00AC7B11"/>
    <w:rsid w:val="00AD2736"/>
    <w:rsid w:val="00AD46A7"/>
    <w:rsid w:val="00AD597C"/>
    <w:rsid w:val="00AD7FCF"/>
    <w:rsid w:val="00AE157C"/>
    <w:rsid w:val="00AE330E"/>
    <w:rsid w:val="00AE68D9"/>
    <w:rsid w:val="00AE6A1A"/>
    <w:rsid w:val="00AE6C6E"/>
    <w:rsid w:val="00AF0E54"/>
    <w:rsid w:val="00AF52D3"/>
    <w:rsid w:val="00B02552"/>
    <w:rsid w:val="00B05764"/>
    <w:rsid w:val="00B0666F"/>
    <w:rsid w:val="00B0676D"/>
    <w:rsid w:val="00B07B3C"/>
    <w:rsid w:val="00B115E5"/>
    <w:rsid w:val="00B131B3"/>
    <w:rsid w:val="00B13CA7"/>
    <w:rsid w:val="00B17C07"/>
    <w:rsid w:val="00B27115"/>
    <w:rsid w:val="00B3678F"/>
    <w:rsid w:val="00B4111A"/>
    <w:rsid w:val="00B41F05"/>
    <w:rsid w:val="00B46F08"/>
    <w:rsid w:val="00B47DE2"/>
    <w:rsid w:val="00B51AF8"/>
    <w:rsid w:val="00B51E34"/>
    <w:rsid w:val="00B521A7"/>
    <w:rsid w:val="00B52FAC"/>
    <w:rsid w:val="00B564B8"/>
    <w:rsid w:val="00B67C6F"/>
    <w:rsid w:val="00B82827"/>
    <w:rsid w:val="00B83F22"/>
    <w:rsid w:val="00B84853"/>
    <w:rsid w:val="00B85616"/>
    <w:rsid w:val="00B90EB0"/>
    <w:rsid w:val="00B91D7E"/>
    <w:rsid w:val="00BA012A"/>
    <w:rsid w:val="00BA1C49"/>
    <w:rsid w:val="00BA53F1"/>
    <w:rsid w:val="00BB0703"/>
    <w:rsid w:val="00BB15D1"/>
    <w:rsid w:val="00BB17B2"/>
    <w:rsid w:val="00BB27FF"/>
    <w:rsid w:val="00BB2C2E"/>
    <w:rsid w:val="00BD34FF"/>
    <w:rsid w:val="00BD69CB"/>
    <w:rsid w:val="00BE0F8E"/>
    <w:rsid w:val="00BE115F"/>
    <w:rsid w:val="00BE782E"/>
    <w:rsid w:val="00BF60E9"/>
    <w:rsid w:val="00BF64F7"/>
    <w:rsid w:val="00BF74A1"/>
    <w:rsid w:val="00C00FA8"/>
    <w:rsid w:val="00C039A8"/>
    <w:rsid w:val="00C04A8F"/>
    <w:rsid w:val="00C172E4"/>
    <w:rsid w:val="00C224CE"/>
    <w:rsid w:val="00C22DDD"/>
    <w:rsid w:val="00C23227"/>
    <w:rsid w:val="00C23520"/>
    <w:rsid w:val="00C25020"/>
    <w:rsid w:val="00C27A86"/>
    <w:rsid w:val="00C31363"/>
    <w:rsid w:val="00C3336D"/>
    <w:rsid w:val="00C36954"/>
    <w:rsid w:val="00C40795"/>
    <w:rsid w:val="00C41D95"/>
    <w:rsid w:val="00C42964"/>
    <w:rsid w:val="00C42B3E"/>
    <w:rsid w:val="00C5065F"/>
    <w:rsid w:val="00C52256"/>
    <w:rsid w:val="00C550F6"/>
    <w:rsid w:val="00C60698"/>
    <w:rsid w:val="00C61E97"/>
    <w:rsid w:val="00C65B3D"/>
    <w:rsid w:val="00C67BA2"/>
    <w:rsid w:val="00C718D0"/>
    <w:rsid w:val="00C75737"/>
    <w:rsid w:val="00C75854"/>
    <w:rsid w:val="00C80B3F"/>
    <w:rsid w:val="00C82F43"/>
    <w:rsid w:val="00C838EE"/>
    <w:rsid w:val="00C85283"/>
    <w:rsid w:val="00C874EA"/>
    <w:rsid w:val="00C92253"/>
    <w:rsid w:val="00C959D0"/>
    <w:rsid w:val="00CA5A81"/>
    <w:rsid w:val="00CA6128"/>
    <w:rsid w:val="00CA7A8F"/>
    <w:rsid w:val="00CA7CFD"/>
    <w:rsid w:val="00CB05BB"/>
    <w:rsid w:val="00CB106A"/>
    <w:rsid w:val="00CB2EF1"/>
    <w:rsid w:val="00CB796C"/>
    <w:rsid w:val="00CC464A"/>
    <w:rsid w:val="00CC690D"/>
    <w:rsid w:val="00CC7B77"/>
    <w:rsid w:val="00CD11CA"/>
    <w:rsid w:val="00CD65F3"/>
    <w:rsid w:val="00CE5E71"/>
    <w:rsid w:val="00CF081E"/>
    <w:rsid w:val="00CF3A08"/>
    <w:rsid w:val="00CF43E6"/>
    <w:rsid w:val="00CF54D4"/>
    <w:rsid w:val="00CF5AB0"/>
    <w:rsid w:val="00D0281E"/>
    <w:rsid w:val="00D02E1D"/>
    <w:rsid w:val="00D100A1"/>
    <w:rsid w:val="00D12151"/>
    <w:rsid w:val="00D1243A"/>
    <w:rsid w:val="00D128A4"/>
    <w:rsid w:val="00D13398"/>
    <w:rsid w:val="00D154D4"/>
    <w:rsid w:val="00D16B9B"/>
    <w:rsid w:val="00D20657"/>
    <w:rsid w:val="00D273D7"/>
    <w:rsid w:val="00D30D54"/>
    <w:rsid w:val="00D33962"/>
    <w:rsid w:val="00D34A75"/>
    <w:rsid w:val="00D34F73"/>
    <w:rsid w:val="00D3753D"/>
    <w:rsid w:val="00D375CE"/>
    <w:rsid w:val="00D40D09"/>
    <w:rsid w:val="00D41C9A"/>
    <w:rsid w:val="00D43A04"/>
    <w:rsid w:val="00D44FCC"/>
    <w:rsid w:val="00D4669B"/>
    <w:rsid w:val="00D479B0"/>
    <w:rsid w:val="00D5009A"/>
    <w:rsid w:val="00D5137E"/>
    <w:rsid w:val="00D5593C"/>
    <w:rsid w:val="00D57038"/>
    <w:rsid w:val="00D6266F"/>
    <w:rsid w:val="00D627E8"/>
    <w:rsid w:val="00D65EAC"/>
    <w:rsid w:val="00D66A84"/>
    <w:rsid w:val="00D7325E"/>
    <w:rsid w:val="00D737DE"/>
    <w:rsid w:val="00D75555"/>
    <w:rsid w:val="00D75DC9"/>
    <w:rsid w:val="00D77FE0"/>
    <w:rsid w:val="00D85503"/>
    <w:rsid w:val="00D85C87"/>
    <w:rsid w:val="00D90F0C"/>
    <w:rsid w:val="00D93B62"/>
    <w:rsid w:val="00D93DD8"/>
    <w:rsid w:val="00D9418C"/>
    <w:rsid w:val="00DA2B27"/>
    <w:rsid w:val="00DA2BF0"/>
    <w:rsid w:val="00DA2D3B"/>
    <w:rsid w:val="00DA7189"/>
    <w:rsid w:val="00DA755F"/>
    <w:rsid w:val="00DB0A5D"/>
    <w:rsid w:val="00DB0C44"/>
    <w:rsid w:val="00DB2ED0"/>
    <w:rsid w:val="00DB3FB6"/>
    <w:rsid w:val="00DB4C16"/>
    <w:rsid w:val="00DB6366"/>
    <w:rsid w:val="00DB64E5"/>
    <w:rsid w:val="00DC72D4"/>
    <w:rsid w:val="00DE21AD"/>
    <w:rsid w:val="00DE625C"/>
    <w:rsid w:val="00DF0401"/>
    <w:rsid w:val="00DF1D6E"/>
    <w:rsid w:val="00E0324B"/>
    <w:rsid w:val="00E03413"/>
    <w:rsid w:val="00E100FB"/>
    <w:rsid w:val="00E111AF"/>
    <w:rsid w:val="00E14380"/>
    <w:rsid w:val="00E23D2C"/>
    <w:rsid w:val="00E256D6"/>
    <w:rsid w:val="00E31C58"/>
    <w:rsid w:val="00E327D9"/>
    <w:rsid w:val="00E3421D"/>
    <w:rsid w:val="00E46C8D"/>
    <w:rsid w:val="00E516C3"/>
    <w:rsid w:val="00E52D00"/>
    <w:rsid w:val="00E615D1"/>
    <w:rsid w:val="00E62FC8"/>
    <w:rsid w:val="00E71020"/>
    <w:rsid w:val="00E71566"/>
    <w:rsid w:val="00E72EC4"/>
    <w:rsid w:val="00E750FE"/>
    <w:rsid w:val="00E7587B"/>
    <w:rsid w:val="00E82CBF"/>
    <w:rsid w:val="00E8601D"/>
    <w:rsid w:val="00E90B5A"/>
    <w:rsid w:val="00E916AB"/>
    <w:rsid w:val="00E92415"/>
    <w:rsid w:val="00E961DE"/>
    <w:rsid w:val="00E96AE8"/>
    <w:rsid w:val="00E96B4E"/>
    <w:rsid w:val="00EA0852"/>
    <w:rsid w:val="00EA0926"/>
    <w:rsid w:val="00EA5140"/>
    <w:rsid w:val="00EA585F"/>
    <w:rsid w:val="00EA5C7E"/>
    <w:rsid w:val="00EB26FD"/>
    <w:rsid w:val="00EB39B8"/>
    <w:rsid w:val="00EC203A"/>
    <w:rsid w:val="00EC2820"/>
    <w:rsid w:val="00EC6693"/>
    <w:rsid w:val="00ED0911"/>
    <w:rsid w:val="00ED1BAA"/>
    <w:rsid w:val="00ED59C9"/>
    <w:rsid w:val="00EE4EFB"/>
    <w:rsid w:val="00EF38A7"/>
    <w:rsid w:val="00EF4681"/>
    <w:rsid w:val="00F01697"/>
    <w:rsid w:val="00F03A00"/>
    <w:rsid w:val="00F07153"/>
    <w:rsid w:val="00F10CEA"/>
    <w:rsid w:val="00F11CC3"/>
    <w:rsid w:val="00F12962"/>
    <w:rsid w:val="00F1440D"/>
    <w:rsid w:val="00F16235"/>
    <w:rsid w:val="00F17CBC"/>
    <w:rsid w:val="00F20905"/>
    <w:rsid w:val="00F259B8"/>
    <w:rsid w:val="00F25FF5"/>
    <w:rsid w:val="00F26737"/>
    <w:rsid w:val="00F3130E"/>
    <w:rsid w:val="00F31D31"/>
    <w:rsid w:val="00F34DC1"/>
    <w:rsid w:val="00F411C4"/>
    <w:rsid w:val="00F43441"/>
    <w:rsid w:val="00F4597A"/>
    <w:rsid w:val="00F45CE1"/>
    <w:rsid w:val="00F46C16"/>
    <w:rsid w:val="00F54776"/>
    <w:rsid w:val="00F5478D"/>
    <w:rsid w:val="00F63B19"/>
    <w:rsid w:val="00F71966"/>
    <w:rsid w:val="00F72A69"/>
    <w:rsid w:val="00F733A3"/>
    <w:rsid w:val="00F77E1A"/>
    <w:rsid w:val="00F8213F"/>
    <w:rsid w:val="00F8272C"/>
    <w:rsid w:val="00F828D3"/>
    <w:rsid w:val="00F83403"/>
    <w:rsid w:val="00F85B90"/>
    <w:rsid w:val="00F86323"/>
    <w:rsid w:val="00F87E7E"/>
    <w:rsid w:val="00F92A35"/>
    <w:rsid w:val="00F96137"/>
    <w:rsid w:val="00FA143C"/>
    <w:rsid w:val="00FA1971"/>
    <w:rsid w:val="00FB113B"/>
    <w:rsid w:val="00FB4679"/>
    <w:rsid w:val="00FB5ACA"/>
    <w:rsid w:val="00FB74D4"/>
    <w:rsid w:val="00FC0396"/>
    <w:rsid w:val="00FC0E52"/>
    <w:rsid w:val="00FC5FE7"/>
    <w:rsid w:val="00FC64A9"/>
    <w:rsid w:val="00FD22EE"/>
    <w:rsid w:val="00FD6CAD"/>
    <w:rsid w:val="00FE04C9"/>
    <w:rsid w:val="00FE20D9"/>
    <w:rsid w:val="00FE49DE"/>
    <w:rsid w:val="00FE5293"/>
    <w:rsid w:val="00FE7DBF"/>
    <w:rsid w:val="00FF2321"/>
    <w:rsid w:val="00FF5C47"/>
    <w:rsid w:val="00FF7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0401" fillcolor="silver" stroke="f">
      <v:fill color="silver" opacity="22938f"/>
      <v:stroke on="f"/>
      <v:shadow color="#868686"/>
      <o:colormru v:ext="edit" colors="#e2e2e2,#f5f5f5,#f1f1f1,#c1c1c1,#dedede,#ececec,#f9f9f9,#eee"/>
    </o:shapedefaults>
    <o:shapelayout v:ext="edit">
      <o:idmap v:ext="edit" data="1"/>
    </o:shapelayout>
  </w:shapeDefaults>
  <w:decimalSymbol w:val="."/>
  <w:listSeparator w:val=","/>
  <w15:docId w15:val="{F6C3E6E3-2D95-4EA1-A98A-DF3661BEF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5B4"/>
    <w:rPr>
      <w:rFonts w:ascii="Arial" w:hAnsi="Arial"/>
      <w:sz w:val="22"/>
      <w:szCs w:val="22"/>
    </w:rPr>
  </w:style>
  <w:style w:type="paragraph" w:styleId="Heading2">
    <w:name w:val="heading 2"/>
    <w:basedOn w:val="Normal"/>
    <w:next w:val="Normal"/>
    <w:qFormat/>
    <w:rsid w:val="00774BEB"/>
    <w:pPr>
      <w:keepNext/>
      <w:outlineLvl w:val="1"/>
    </w:pPr>
    <w:rPr>
      <w:rFonts w:ascii="Times New Roman" w:hAnsi="Times New Roman"/>
      <w:b/>
      <w:szCs w:val="20"/>
      <w:u w:val="single"/>
    </w:rPr>
  </w:style>
  <w:style w:type="paragraph" w:styleId="Heading3">
    <w:name w:val="heading 3"/>
    <w:basedOn w:val="Normal"/>
    <w:next w:val="Normal"/>
    <w:qFormat/>
    <w:rsid w:val="00774BEB"/>
    <w:pPr>
      <w:keepNext/>
      <w:tabs>
        <w:tab w:val="num" w:pos="851"/>
      </w:tabs>
      <w:ind w:left="851" w:hanging="851"/>
      <w:outlineLvl w:val="2"/>
    </w:pPr>
    <w:rPr>
      <w:rFonts w:ascii="Times New Roman" w:hAnsi="Times New Roman"/>
      <w:b/>
      <w:sz w:val="20"/>
      <w:szCs w:val="20"/>
    </w:rPr>
  </w:style>
  <w:style w:type="paragraph" w:styleId="Heading4">
    <w:name w:val="heading 4"/>
    <w:basedOn w:val="Normal"/>
    <w:next w:val="Normal"/>
    <w:qFormat/>
    <w:rsid w:val="005D56AF"/>
    <w:pPr>
      <w:keepNext/>
      <w:numPr>
        <w:ilvl w:val="3"/>
        <w:numId w:val="1"/>
      </w:numPr>
      <w:spacing w:before="240" w:after="60"/>
      <w:outlineLvl w:val="3"/>
    </w:pPr>
    <w:rPr>
      <w:rFonts w:ascii="Times New Roman" w:hAnsi="Times New Roman"/>
      <w:b/>
      <w:bCs/>
      <w:sz w:val="28"/>
      <w:szCs w:val="28"/>
    </w:rPr>
  </w:style>
  <w:style w:type="paragraph" w:styleId="Heading7">
    <w:name w:val="heading 7"/>
    <w:basedOn w:val="Normal"/>
    <w:next w:val="Normal"/>
    <w:qFormat/>
    <w:rsid w:val="00774BEB"/>
    <w:pPr>
      <w:keepNext/>
      <w:tabs>
        <w:tab w:val="num" w:pos="5549"/>
      </w:tabs>
      <w:ind w:left="5549" w:hanging="1296"/>
      <w:outlineLvl w:val="6"/>
    </w:pPr>
    <w:rPr>
      <w:rFonts w:ascii="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4"/>
    <w:rsid w:val="005D56AF"/>
    <w:pPr>
      <w:spacing w:before="0" w:after="0"/>
    </w:pPr>
    <w:rPr>
      <w:rFonts w:ascii="Arial" w:hAnsi="Arial"/>
      <w:bCs w:val="0"/>
      <w:sz w:val="22"/>
      <w:szCs w:val="20"/>
      <w:u w:val="single"/>
    </w:rPr>
  </w:style>
  <w:style w:type="table" w:styleId="TableGrid">
    <w:name w:val="Table Grid"/>
    <w:basedOn w:val="TableNormal"/>
    <w:uiPriority w:val="59"/>
    <w:rsid w:val="00774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74BEB"/>
    <w:pPr>
      <w:tabs>
        <w:tab w:val="center" w:pos="4153"/>
        <w:tab w:val="right" w:pos="8306"/>
      </w:tabs>
    </w:pPr>
  </w:style>
  <w:style w:type="paragraph" w:styleId="BodyTextIndent3">
    <w:name w:val="Body Text Indent 3"/>
    <w:basedOn w:val="Normal"/>
    <w:rsid w:val="00774BEB"/>
    <w:pPr>
      <w:ind w:left="709" w:hanging="709"/>
      <w:jc w:val="both"/>
    </w:pPr>
    <w:rPr>
      <w:szCs w:val="20"/>
    </w:rPr>
  </w:style>
  <w:style w:type="paragraph" w:styleId="ListContinue">
    <w:name w:val="List Continue"/>
    <w:basedOn w:val="Normal"/>
    <w:link w:val="ListContinueChar"/>
    <w:rsid w:val="00774BEB"/>
    <w:pPr>
      <w:spacing w:after="120"/>
      <w:ind w:left="283"/>
    </w:pPr>
    <w:rPr>
      <w:sz w:val="24"/>
    </w:rPr>
  </w:style>
  <w:style w:type="character" w:customStyle="1" w:styleId="ListContinueChar">
    <w:name w:val="List Continue Char"/>
    <w:link w:val="ListContinue"/>
    <w:rsid w:val="00774BEB"/>
    <w:rPr>
      <w:rFonts w:ascii="Arial" w:hAnsi="Arial"/>
      <w:sz w:val="24"/>
      <w:szCs w:val="22"/>
      <w:lang w:val="en-GB" w:eastAsia="en-GB" w:bidi="ar-SA"/>
    </w:rPr>
  </w:style>
  <w:style w:type="paragraph" w:styleId="ListNumber5">
    <w:name w:val="List Number 5"/>
    <w:basedOn w:val="Normal"/>
    <w:rsid w:val="00774BEB"/>
    <w:pPr>
      <w:numPr>
        <w:numId w:val="2"/>
      </w:numPr>
    </w:pPr>
    <w:rPr>
      <w:rFonts w:ascii="Times New Roman" w:hAnsi="Times New Roman"/>
      <w:sz w:val="24"/>
      <w:szCs w:val="20"/>
    </w:rPr>
  </w:style>
  <w:style w:type="character" w:styleId="CommentReference">
    <w:name w:val="annotation reference"/>
    <w:semiHidden/>
    <w:rsid w:val="00774BEB"/>
    <w:rPr>
      <w:sz w:val="16"/>
      <w:szCs w:val="16"/>
    </w:rPr>
  </w:style>
  <w:style w:type="paragraph" w:styleId="CommentText">
    <w:name w:val="annotation text"/>
    <w:basedOn w:val="Normal"/>
    <w:semiHidden/>
    <w:rsid w:val="00774BEB"/>
    <w:rPr>
      <w:sz w:val="20"/>
      <w:szCs w:val="20"/>
    </w:rPr>
  </w:style>
  <w:style w:type="paragraph" w:styleId="BalloonText">
    <w:name w:val="Balloon Text"/>
    <w:basedOn w:val="Normal"/>
    <w:semiHidden/>
    <w:rsid w:val="00774BEB"/>
    <w:rPr>
      <w:rFonts w:ascii="Tahoma" w:hAnsi="Tahoma" w:cs="Tahoma"/>
      <w:sz w:val="16"/>
      <w:szCs w:val="16"/>
    </w:rPr>
  </w:style>
  <w:style w:type="paragraph" w:styleId="Footer">
    <w:name w:val="footer"/>
    <w:basedOn w:val="Normal"/>
    <w:rsid w:val="00774BEB"/>
    <w:pPr>
      <w:tabs>
        <w:tab w:val="center" w:pos="4153"/>
        <w:tab w:val="right" w:pos="8306"/>
      </w:tabs>
    </w:pPr>
  </w:style>
  <w:style w:type="paragraph" w:styleId="BodyText2">
    <w:name w:val="Body Text 2"/>
    <w:basedOn w:val="Normal"/>
    <w:link w:val="BodyText2Char"/>
    <w:rsid w:val="003D2851"/>
    <w:pPr>
      <w:spacing w:after="120" w:line="480" w:lineRule="auto"/>
    </w:pPr>
  </w:style>
  <w:style w:type="character" w:styleId="PageNumber">
    <w:name w:val="page number"/>
    <w:basedOn w:val="DefaultParagraphFont"/>
    <w:rsid w:val="003D2851"/>
  </w:style>
  <w:style w:type="paragraph" w:customStyle="1" w:styleId="SUB-HEAD">
    <w:name w:val="SUB-HEAD"/>
    <w:basedOn w:val="Normal"/>
    <w:next w:val="Normal"/>
    <w:rsid w:val="003D2851"/>
    <w:pPr>
      <w:spacing w:after="240"/>
    </w:pPr>
    <w:rPr>
      <w:b/>
      <w:caps/>
      <w:szCs w:val="20"/>
      <w:lang w:val="en-US" w:eastAsia="en-US"/>
    </w:rPr>
  </w:style>
  <w:style w:type="paragraph" w:styleId="BodyTextIndent">
    <w:name w:val="Body Text Indent"/>
    <w:basedOn w:val="Normal"/>
    <w:rsid w:val="00571733"/>
    <w:pPr>
      <w:spacing w:after="120"/>
      <w:ind w:left="283"/>
    </w:pPr>
  </w:style>
  <w:style w:type="paragraph" w:styleId="Caption">
    <w:name w:val="caption"/>
    <w:basedOn w:val="Normal"/>
    <w:next w:val="Normal"/>
    <w:uiPriority w:val="35"/>
    <w:semiHidden/>
    <w:unhideWhenUsed/>
    <w:qFormat/>
    <w:rsid w:val="00A77412"/>
    <w:rPr>
      <w:b/>
      <w:bCs/>
      <w:sz w:val="20"/>
      <w:szCs w:val="20"/>
    </w:rPr>
  </w:style>
  <w:style w:type="paragraph" w:styleId="ListParagraph">
    <w:name w:val="List Paragraph"/>
    <w:basedOn w:val="Normal"/>
    <w:uiPriority w:val="34"/>
    <w:qFormat/>
    <w:rsid w:val="000E098B"/>
    <w:pPr>
      <w:ind w:left="720"/>
      <w:contextualSpacing/>
    </w:pPr>
  </w:style>
  <w:style w:type="character" w:customStyle="1" w:styleId="BodyText2Char">
    <w:name w:val="Body Text 2 Char"/>
    <w:link w:val="BodyText2"/>
    <w:rsid w:val="00717184"/>
    <w:rPr>
      <w:rFonts w:ascii="Arial" w:hAnsi="Arial"/>
      <w:sz w:val="22"/>
      <w:szCs w:val="22"/>
    </w:rPr>
  </w:style>
  <w:style w:type="table" w:customStyle="1" w:styleId="TableGrid1">
    <w:name w:val="Table Grid1"/>
    <w:basedOn w:val="TableNormal"/>
    <w:uiPriority w:val="59"/>
    <w:rsid w:val="00405663"/>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5AC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69869">
      <w:bodyDiv w:val="1"/>
      <w:marLeft w:val="0"/>
      <w:marRight w:val="0"/>
      <w:marTop w:val="0"/>
      <w:marBottom w:val="0"/>
      <w:divBdr>
        <w:top w:val="none" w:sz="0" w:space="0" w:color="auto"/>
        <w:left w:val="none" w:sz="0" w:space="0" w:color="auto"/>
        <w:bottom w:val="none" w:sz="0" w:space="0" w:color="auto"/>
        <w:right w:val="none" w:sz="0" w:space="0" w:color="auto"/>
      </w:divBdr>
    </w:div>
    <w:div w:id="330564825">
      <w:bodyDiv w:val="1"/>
      <w:marLeft w:val="0"/>
      <w:marRight w:val="0"/>
      <w:marTop w:val="0"/>
      <w:marBottom w:val="0"/>
      <w:divBdr>
        <w:top w:val="none" w:sz="0" w:space="0" w:color="auto"/>
        <w:left w:val="none" w:sz="0" w:space="0" w:color="auto"/>
        <w:bottom w:val="none" w:sz="0" w:space="0" w:color="auto"/>
        <w:right w:val="none" w:sz="0" w:space="0" w:color="auto"/>
      </w:divBdr>
    </w:div>
    <w:div w:id="578028091">
      <w:bodyDiv w:val="1"/>
      <w:marLeft w:val="0"/>
      <w:marRight w:val="0"/>
      <w:marTop w:val="0"/>
      <w:marBottom w:val="0"/>
      <w:divBdr>
        <w:top w:val="none" w:sz="0" w:space="0" w:color="auto"/>
        <w:left w:val="none" w:sz="0" w:space="0" w:color="auto"/>
        <w:bottom w:val="none" w:sz="0" w:space="0" w:color="auto"/>
        <w:right w:val="none" w:sz="0" w:space="0" w:color="auto"/>
      </w:divBdr>
    </w:div>
    <w:div w:id="664553821">
      <w:bodyDiv w:val="1"/>
      <w:marLeft w:val="0"/>
      <w:marRight w:val="0"/>
      <w:marTop w:val="0"/>
      <w:marBottom w:val="0"/>
      <w:divBdr>
        <w:top w:val="none" w:sz="0" w:space="0" w:color="auto"/>
        <w:left w:val="none" w:sz="0" w:space="0" w:color="auto"/>
        <w:bottom w:val="none" w:sz="0" w:space="0" w:color="auto"/>
        <w:right w:val="none" w:sz="0" w:space="0" w:color="auto"/>
      </w:divBdr>
    </w:div>
    <w:div w:id="768625801">
      <w:bodyDiv w:val="1"/>
      <w:marLeft w:val="0"/>
      <w:marRight w:val="0"/>
      <w:marTop w:val="0"/>
      <w:marBottom w:val="0"/>
      <w:divBdr>
        <w:top w:val="none" w:sz="0" w:space="0" w:color="auto"/>
        <w:left w:val="none" w:sz="0" w:space="0" w:color="auto"/>
        <w:bottom w:val="none" w:sz="0" w:space="0" w:color="auto"/>
        <w:right w:val="none" w:sz="0" w:space="0" w:color="auto"/>
      </w:divBdr>
    </w:div>
    <w:div w:id="862329893">
      <w:bodyDiv w:val="1"/>
      <w:marLeft w:val="0"/>
      <w:marRight w:val="0"/>
      <w:marTop w:val="0"/>
      <w:marBottom w:val="0"/>
      <w:divBdr>
        <w:top w:val="none" w:sz="0" w:space="0" w:color="auto"/>
        <w:left w:val="none" w:sz="0" w:space="0" w:color="auto"/>
        <w:bottom w:val="none" w:sz="0" w:space="0" w:color="auto"/>
        <w:right w:val="none" w:sz="0" w:space="0" w:color="auto"/>
      </w:divBdr>
    </w:div>
    <w:div w:id="871115314">
      <w:bodyDiv w:val="1"/>
      <w:marLeft w:val="0"/>
      <w:marRight w:val="0"/>
      <w:marTop w:val="0"/>
      <w:marBottom w:val="0"/>
      <w:divBdr>
        <w:top w:val="none" w:sz="0" w:space="0" w:color="auto"/>
        <w:left w:val="none" w:sz="0" w:space="0" w:color="auto"/>
        <w:bottom w:val="none" w:sz="0" w:space="0" w:color="auto"/>
        <w:right w:val="none" w:sz="0" w:space="0" w:color="auto"/>
      </w:divBdr>
    </w:div>
    <w:div w:id="1051810412">
      <w:bodyDiv w:val="1"/>
      <w:marLeft w:val="0"/>
      <w:marRight w:val="0"/>
      <w:marTop w:val="0"/>
      <w:marBottom w:val="0"/>
      <w:divBdr>
        <w:top w:val="none" w:sz="0" w:space="0" w:color="auto"/>
        <w:left w:val="none" w:sz="0" w:space="0" w:color="auto"/>
        <w:bottom w:val="none" w:sz="0" w:space="0" w:color="auto"/>
        <w:right w:val="none" w:sz="0" w:space="0" w:color="auto"/>
      </w:divBdr>
    </w:div>
    <w:div w:id="1092162397">
      <w:bodyDiv w:val="1"/>
      <w:marLeft w:val="0"/>
      <w:marRight w:val="0"/>
      <w:marTop w:val="0"/>
      <w:marBottom w:val="0"/>
      <w:divBdr>
        <w:top w:val="none" w:sz="0" w:space="0" w:color="auto"/>
        <w:left w:val="none" w:sz="0" w:space="0" w:color="auto"/>
        <w:bottom w:val="none" w:sz="0" w:space="0" w:color="auto"/>
        <w:right w:val="none" w:sz="0" w:space="0" w:color="auto"/>
      </w:divBdr>
    </w:div>
    <w:div w:id="1195077243">
      <w:bodyDiv w:val="1"/>
      <w:marLeft w:val="0"/>
      <w:marRight w:val="0"/>
      <w:marTop w:val="0"/>
      <w:marBottom w:val="0"/>
      <w:divBdr>
        <w:top w:val="none" w:sz="0" w:space="0" w:color="auto"/>
        <w:left w:val="none" w:sz="0" w:space="0" w:color="auto"/>
        <w:bottom w:val="none" w:sz="0" w:space="0" w:color="auto"/>
        <w:right w:val="none" w:sz="0" w:space="0" w:color="auto"/>
      </w:divBdr>
    </w:div>
    <w:div w:id="1381440843">
      <w:bodyDiv w:val="1"/>
      <w:marLeft w:val="0"/>
      <w:marRight w:val="0"/>
      <w:marTop w:val="0"/>
      <w:marBottom w:val="0"/>
      <w:divBdr>
        <w:top w:val="none" w:sz="0" w:space="0" w:color="auto"/>
        <w:left w:val="none" w:sz="0" w:space="0" w:color="auto"/>
        <w:bottom w:val="none" w:sz="0" w:space="0" w:color="auto"/>
        <w:right w:val="none" w:sz="0" w:space="0" w:color="auto"/>
      </w:divBdr>
    </w:div>
    <w:div w:id="1828859508">
      <w:bodyDiv w:val="1"/>
      <w:marLeft w:val="0"/>
      <w:marRight w:val="0"/>
      <w:marTop w:val="0"/>
      <w:marBottom w:val="0"/>
      <w:divBdr>
        <w:top w:val="none" w:sz="0" w:space="0" w:color="auto"/>
        <w:left w:val="none" w:sz="0" w:space="0" w:color="auto"/>
        <w:bottom w:val="none" w:sz="0" w:space="0" w:color="auto"/>
        <w:right w:val="none" w:sz="0" w:space="0" w:color="auto"/>
      </w:divBdr>
    </w:div>
    <w:div w:id="183464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DB418-B657-49DE-A6DB-1CBBB2907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1984</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Bamber, Janice</cp:lastModifiedBy>
  <cp:revision>2</cp:revision>
  <cp:lastPrinted>2020-03-10T11:29:00Z</cp:lastPrinted>
  <dcterms:created xsi:type="dcterms:W3CDTF">2020-05-29T12:02:00Z</dcterms:created>
  <dcterms:modified xsi:type="dcterms:W3CDTF">2020-05-29T12:02:00Z</dcterms:modified>
</cp:coreProperties>
</file>